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DEF" w:rsidRPr="00152179" w:rsidRDefault="00E01DEF" w:rsidP="00E01DEF">
      <w:pPr>
        <w:jc w:val="center"/>
        <w:rPr>
          <w:b/>
          <w:sz w:val="22"/>
          <w:szCs w:val="22"/>
        </w:rPr>
      </w:pPr>
      <w:r w:rsidRPr="00152179">
        <w:rPr>
          <w:b/>
          <w:sz w:val="22"/>
          <w:szCs w:val="22"/>
        </w:rPr>
        <w:t>T.C.</w:t>
      </w:r>
    </w:p>
    <w:p w:rsidR="00E01DEF" w:rsidRPr="00152179" w:rsidRDefault="00E01DEF" w:rsidP="00E01DEF">
      <w:pPr>
        <w:jc w:val="center"/>
        <w:rPr>
          <w:b/>
          <w:sz w:val="22"/>
          <w:szCs w:val="22"/>
        </w:rPr>
      </w:pPr>
      <w:r w:rsidRPr="00152179">
        <w:rPr>
          <w:b/>
          <w:sz w:val="22"/>
          <w:szCs w:val="22"/>
        </w:rPr>
        <w:t>GÜMRÜK VE TİCARET BAKANLIĞI</w:t>
      </w:r>
    </w:p>
    <w:p w:rsidR="00E01DEF" w:rsidRDefault="00E01DEF" w:rsidP="00E01DEF">
      <w:pPr>
        <w:jc w:val="center"/>
        <w:rPr>
          <w:b/>
          <w:sz w:val="22"/>
          <w:szCs w:val="22"/>
        </w:rPr>
      </w:pPr>
      <w:r w:rsidRPr="00152179">
        <w:rPr>
          <w:b/>
          <w:sz w:val="22"/>
          <w:szCs w:val="22"/>
        </w:rPr>
        <w:t>Gümrükler Genel Müdürlüğü</w:t>
      </w:r>
    </w:p>
    <w:p w:rsidR="00E01DEF" w:rsidRPr="00152179" w:rsidRDefault="00E01DEF" w:rsidP="00E01DEF">
      <w:pPr>
        <w:jc w:val="both"/>
        <w:rPr>
          <w:sz w:val="22"/>
          <w:szCs w:val="22"/>
        </w:rPr>
      </w:pPr>
      <w:r>
        <w:rPr>
          <w:sz w:val="22"/>
          <w:szCs w:val="22"/>
        </w:rPr>
        <w:t>Sayı</w:t>
      </w:r>
      <w:r>
        <w:rPr>
          <w:sz w:val="22"/>
          <w:szCs w:val="22"/>
        </w:rPr>
        <w:tab/>
        <w:t>:</w:t>
      </w:r>
      <w:r w:rsidRPr="00152179">
        <w:rPr>
          <w:sz w:val="22"/>
          <w:szCs w:val="22"/>
        </w:rPr>
        <w:t>96603261/120.01.02</w:t>
      </w:r>
      <w:r w:rsidRPr="00152179">
        <w:rPr>
          <w:sz w:val="22"/>
          <w:szCs w:val="22"/>
        </w:rPr>
        <w:cr/>
        <w:t>Konu</w:t>
      </w:r>
      <w:r w:rsidRPr="00152179">
        <w:rPr>
          <w:sz w:val="22"/>
          <w:szCs w:val="22"/>
        </w:rPr>
        <w:tab/>
        <w:t>:NCTS-Açık beyanname sorunu</w:t>
      </w:r>
      <w:r w:rsidRPr="00152179">
        <w:rPr>
          <w:sz w:val="22"/>
          <w:szCs w:val="22"/>
        </w:rPr>
        <w:cr/>
      </w:r>
    </w:p>
    <w:p w:rsidR="00E01DEF" w:rsidRPr="00152179" w:rsidRDefault="00E01DEF" w:rsidP="00E01DEF">
      <w:pPr>
        <w:spacing w:before="120"/>
        <w:jc w:val="center"/>
        <w:rPr>
          <w:b/>
          <w:sz w:val="22"/>
          <w:szCs w:val="22"/>
        </w:rPr>
      </w:pPr>
      <w:r w:rsidRPr="00152179">
        <w:rPr>
          <w:b/>
          <w:sz w:val="22"/>
          <w:szCs w:val="22"/>
        </w:rPr>
        <w:t>15.07.2014 / 1665730</w:t>
      </w:r>
    </w:p>
    <w:p w:rsidR="00E01DEF" w:rsidRPr="00152179" w:rsidRDefault="00E01DEF" w:rsidP="00E01DEF">
      <w:pPr>
        <w:spacing w:before="120"/>
        <w:jc w:val="center"/>
        <w:rPr>
          <w:b/>
          <w:sz w:val="22"/>
          <w:szCs w:val="22"/>
        </w:rPr>
      </w:pPr>
      <w:r w:rsidRPr="00152179">
        <w:rPr>
          <w:b/>
          <w:sz w:val="22"/>
          <w:szCs w:val="22"/>
        </w:rPr>
        <w:t>DAĞITIM</w:t>
      </w:r>
    </w:p>
    <w:p w:rsidR="00E01DEF" w:rsidRDefault="00E01DEF" w:rsidP="00E01DEF">
      <w:pPr>
        <w:spacing w:before="120"/>
        <w:jc w:val="center"/>
        <w:rPr>
          <w:sz w:val="22"/>
          <w:szCs w:val="22"/>
        </w:rPr>
      </w:pPr>
    </w:p>
    <w:p w:rsidR="00E01DEF" w:rsidRPr="00152179" w:rsidRDefault="00E01DEF" w:rsidP="00E01DEF">
      <w:pPr>
        <w:spacing w:before="120"/>
        <w:ind w:firstLine="709"/>
        <w:jc w:val="both"/>
        <w:rPr>
          <w:sz w:val="22"/>
          <w:szCs w:val="22"/>
        </w:rPr>
      </w:pPr>
      <w:r w:rsidRPr="00152179">
        <w:rPr>
          <w:sz w:val="22"/>
          <w:szCs w:val="22"/>
        </w:rPr>
        <w:t>Bilindiği üzere, daha önce muhtelif tarih ve sayılı talimatlarımızla, Ortak Transit Sözleşmesi'ne taraf olan ülkelerce NCTS üzerinden ülkemize yönelik olarak açılan transit beyannamelerinin (T1/T2) varış bildirimi ve kontrol sonuçları ile araştırma/tahsilat işlemlerinin Sözleşme'de öngörülen süre içerisinde yapılmadığı, bu nedenle de AB/EFTA Ortak Transit Komisyonu tarafından şikayete konu edildiği, bu itibarla, başta yurt dışından açılan transit beyannameleri olmak üzere tüm transit beyanname işlemlerinin Sözleşme'de belirtilen süreler dahilinde yapılması, Bölge Müdürlükleri nezdindeki Transit Şubelerince de bunların takibinin yapılmasının gerektiği bildirilmişti.</w:t>
      </w:r>
    </w:p>
    <w:p w:rsidR="00E01DEF" w:rsidRPr="00152179" w:rsidRDefault="00E01DEF" w:rsidP="00E01DEF">
      <w:pPr>
        <w:spacing w:before="120"/>
        <w:ind w:firstLine="709"/>
        <w:jc w:val="both"/>
        <w:rPr>
          <w:sz w:val="22"/>
          <w:szCs w:val="22"/>
        </w:rPr>
      </w:pPr>
      <w:r w:rsidRPr="00152179">
        <w:rPr>
          <w:sz w:val="22"/>
          <w:szCs w:val="22"/>
        </w:rPr>
        <w:t>Komisyon'dan alınan 15 Temmuz 2014 tarihli elektronik postada, Avrupa ülkelerinden Türkiye'ye açılan transit beyannameleri için kontrol sonucu geç iletilen veya hiç iletilmeyen ve araştırma işlemleri süresi içinde gerçekleştirilmeyen beyanname sayısının Sözleşme'ye taraf diğer ülke ortalamalarının çok üstünde olduğu, diğer ülke ortalamalarında araştırmaya düşen beyanname oranı % 0.75 iken ülkemizde % 11'in üzerinde olduğu, 2015'te Sırbitan ve Makedonya'nın taraf olduğu düşünüldüğünde, söz konusu oranların acilen düşürülmesinin gerektiği özetlenmiştir.</w:t>
      </w:r>
    </w:p>
    <w:p w:rsidR="00E01DEF" w:rsidRPr="00152179" w:rsidRDefault="00E01DEF" w:rsidP="00E01DEF">
      <w:pPr>
        <w:spacing w:before="120"/>
        <w:ind w:firstLine="709"/>
        <w:jc w:val="both"/>
        <w:rPr>
          <w:sz w:val="22"/>
          <w:szCs w:val="22"/>
        </w:rPr>
      </w:pPr>
      <w:r w:rsidRPr="00152179">
        <w:rPr>
          <w:sz w:val="22"/>
          <w:szCs w:val="22"/>
        </w:rPr>
        <w:t xml:space="preserve">Söz konusu sorunun en önemli sebebinin antrepoya alınan transit eşyasına ilişkin işlemlerin gecikmesi olduğu bilinmektedir. Yurt dışından açılan T1/T2 kapsamı eşya, varış idaresinde genellikle antrepoya alınmakta ve antrepo işlemlerinden sonra bir başka gümrükçe onaylanmış işlem veya kullanıma tabi tutulmaktadır. Ancak, anılan eşyaya ait gerekli belgeler (Transit Refakat Belgesi vs.), ilgili Yetkilendirilmiş Gümrük Müşavirleri tarafından zamanında gümrük idaresine iletilmemekte veya iletilse bile ilgili gümrük personelince sisteme kontrol sonuçları zamanında girilmemektedir. Bunun sonucunda da  beyannameler açık kalmakta ve araştırmaya düşmektedir. </w:t>
      </w:r>
    </w:p>
    <w:p w:rsidR="00E01DEF" w:rsidRPr="00152179" w:rsidRDefault="00E01DEF" w:rsidP="00E01DEF">
      <w:pPr>
        <w:spacing w:before="120"/>
        <w:ind w:firstLine="709"/>
        <w:jc w:val="both"/>
        <w:rPr>
          <w:sz w:val="22"/>
          <w:szCs w:val="22"/>
        </w:rPr>
      </w:pPr>
      <w:r w:rsidRPr="00152179">
        <w:rPr>
          <w:sz w:val="22"/>
          <w:szCs w:val="22"/>
        </w:rPr>
        <w:t>Buna göre;</w:t>
      </w:r>
    </w:p>
    <w:p w:rsidR="00E01DEF" w:rsidRPr="00152179" w:rsidRDefault="00E01DEF" w:rsidP="00E01DEF">
      <w:pPr>
        <w:spacing w:before="120"/>
        <w:ind w:firstLine="709"/>
        <w:jc w:val="both"/>
        <w:rPr>
          <w:sz w:val="22"/>
          <w:szCs w:val="22"/>
        </w:rPr>
      </w:pPr>
      <w:r w:rsidRPr="00152179">
        <w:rPr>
          <w:sz w:val="22"/>
          <w:szCs w:val="22"/>
        </w:rPr>
        <w:t xml:space="preserve">- Her gümrük idaresinin görev alanı dahilinde bulunan antrepolarda yetkili olan </w:t>
      </w:r>
      <w:hyperlink r:id="rId7" w:history="1">
        <w:r w:rsidRPr="003B18CC">
          <w:rPr>
            <w:rStyle w:val="Kpr"/>
            <w:sz w:val="22"/>
            <w:szCs w:val="22"/>
          </w:rPr>
          <w:t>YG</w:t>
        </w:r>
        <w:r w:rsidRPr="003B18CC">
          <w:rPr>
            <w:rStyle w:val="Kpr"/>
            <w:sz w:val="22"/>
            <w:szCs w:val="22"/>
          </w:rPr>
          <w:t>M</w:t>
        </w:r>
        <w:r w:rsidRPr="003B18CC">
          <w:rPr>
            <w:rStyle w:val="Kpr"/>
            <w:sz w:val="22"/>
            <w:szCs w:val="22"/>
          </w:rPr>
          <w:t>'</w:t>
        </w:r>
        <w:r w:rsidRPr="003B18CC">
          <w:rPr>
            <w:rStyle w:val="Kpr"/>
            <w:sz w:val="22"/>
            <w:szCs w:val="22"/>
          </w:rPr>
          <w:t>lerin</w:t>
        </w:r>
      </w:hyperlink>
      <w:r w:rsidRPr="00152179">
        <w:rPr>
          <w:sz w:val="22"/>
          <w:szCs w:val="22"/>
        </w:rPr>
        <w:t xml:space="preserve">, varış bildirimi yapılmasından itibaren en geç 3 gün içinde söz konusu beyannameye ait tüm belgeleri idareye iletmesini sağlamaya yönelik tedbirleri alması, gerekirse bu konuda ihmal gösteren YGM'lerin uyarılması, </w:t>
      </w:r>
    </w:p>
    <w:p w:rsidR="00E01DEF" w:rsidRPr="00152179" w:rsidRDefault="00E01DEF" w:rsidP="00E01DEF">
      <w:pPr>
        <w:spacing w:before="120"/>
        <w:ind w:firstLine="709"/>
        <w:jc w:val="both"/>
        <w:rPr>
          <w:sz w:val="22"/>
          <w:szCs w:val="22"/>
        </w:rPr>
      </w:pPr>
      <w:r w:rsidRPr="00152179">
        <w:rPr>
          <w:sz w:val="22"/>
          <w:szCs w:val="22"/>
        </w:rPr>
        <w:t>- Kontrol sonuçlarını girecek olan gümrük personelinin, kendisine iletilen belgelerle birlikte, varış bildiriminin yapılmasından itibaren en geç 6 gün içerisinde anılan eşyaya ait kontrol sonucunu sisteme girmesinin sağlanması, ilgili memurun görevinden geçici veya kalıcı olarak ayrılması halinde, işlemin tesisi i</w:t>
      </w:r>
      <w:r>
        <w:rPr>
          <w:sz w:val="22"/>
          <w:szCs w:val="22"/>
        </w:rPr>
        <w:t>çin başka bir  personelin görev</w:t>
      </w:r>
      <w:r w:rsidRPr="00152179">
        <w:rPr>
          <w:sz w:val="22"/>
          <w:szCs w:val="22"/>
        </w:rPr>
        <w:t>lendirilmesi,</w:t>
      </w:r>
    </w:p>
    <w:p w:rsidR="00E01DEF" w:rsidRPr="00152179" w:rsidRDefault="00E01DEF" w:rsidP="00E01DEF">
      <w:pPr>
        <w:spacing w:before="120"/>
        <w:ind w:firstLine="709"/>
        <w:jc w:val="both"/>
        <w:rPr>
          <w:sz w:val="22"/>
          <w:szCs w:val="22"/>
        </w:rPr>
      </w:pPr>
      <w:r w:rsidRPr="00152179">
        <w:rPr>
          <w:sz w:val="22"/>
          <w:szCs w:val="22"/>
        </w:rPr>
        <w:t>-  Araştırmaya konu olan T1/T2'lere en geç 28 gün içerinde cevap verilmesinin sağlanması,</w:t>
      </w:r>
    </w:p>
    <w:p w:rsidR="00E01DEF" w:rsidRPr="00152179" w:rsidRDefault="00E01DEF" w:rsidP="00E01DEF">
      <w:pPr>
        <w:spacing w:before="120"/>
        <w:ind w:firstLine="709"/>
        <w:jc w:val="both"/>
        <w:rPr>
          <w:sz w:val="22"/>
          <w:szCs w:val="22"/>
        </w:rPr>
      </w:pPr>
      <w:r w:rsidRPr="00152179">
        <w:rPr>
          <w:sz w:val="22"/>
          <w:szCs w:val="22"/>
        </w:rPr>
        <w:t xml:space="preserve">- Her Bölge Müdürlüğündeki Transit Şubelerinin bu hususları yakından takip ederek kontrol sonucu girilmeyen  araştırmaya düşen vs. beyannamelerin işlemlerinin ilgili idareler nezdinde yapılmasını sağlaması, </w:t>
      </w:r>
    </w:p>
    <w:p w:rsidR="00E01DEF" w:rsidRPr="00152179" w:rsidRDefault="00E01DEF" w:rsidP="00E01DEF">
      <w:pPr>
        <w:spacing w:before="120"/>
        <w:ind w:firstLine="709"/>
        <w:jc w:val="both"/>
        <w:rPr>
          <w:sz w:val="22"/>
          <w:szCs w:val="22"/>
        </w:rPr>
      </w:pPr>
      <w:r w:rsidRPr="00152179">
        <w:rPr>
          <w:sz w:val="22"/>
          <w:szCs w:val="22"/>
        </w:rPr>
        <w:t xml:space="preserve">gerekmektedir. </w:t>
      </w:r>
    </w:p>
    <w:p w:rsidR="00E01DEF" w:rsidRDefault="00E01DEF" w:rsidP="00E01DEF">
      <w:pPr>
        <w:spacing w:before="120"/>
        <w:ind w:firstLine="709"/>
        <w:jc w:val="both"/>
        <w:rPr>
          <w:sz w:val="22"/>
          <w:szCs w:val="22"/>
        </w:rPr>
      </w:pPr>
      <w:r w:rsidRPr="00152179">
        <w:rPr>
          <w:sz w:val="22"/>
          <w:szCs w:val="22"/>
        </w:rPr>
        <w:t>Bilgileri ile yukarıda belirtilen talimatlar doğrultusunda gerekli önlemlerin alınması hususunda gereğini rica ederim.</w:t>
      </w:r>
    </w:p>
    <w:p w:rsidR="00E01DEF" w:rsidRPr="00152179" w:rsidRDefault="00E01DEF" w:rsidP="00E01DEF">
      <w:pPr>
        <w:jc w:val="right"/>
        <w:rPr>
          <w:sz w:val="22"/>
          <w:szCs w:val="22"/>
        </w:rPr>
      </w:pPr>
      <w:r w:rsidRPr="00152179">
        <w:rPr>
          <w:sz w:val="22"/>
          <w:szCs w:val="22"/>
        </w:rPr>
        <w:t>Cenap AŞCI</w:t>
      </w:r>
    </w:p>
    <w:p w:rsidR="00E01DEF" w:rsidRPr="00152179" w:rsidRDefault="00E01DEF" w:rsidP="00E01DEF">
      <w:pPr>
        <w:jc w:val="right"/>
        <w:rPr>
          <w:sz w:val="22"/>
          <w:szCs w:val="22"/>
        </w:rPr>
      </w:pPr>
      <w:r w:rsidRPr="00152179">
        <w:rPr>
          <w:sz w:val="22"/>
          <w:szCs w:val="22"/>
        </w:rPr>
        <w:t>Genel Müdür V.</w:t>
      </w:r>
    </w:p>
    <w:p w:rsidR="00E01DEF" w:rsidRPr="00152179" w:rsidRDefault="00E01DEF" w:rsidP="00E01DEF">
      <w:pPr>
        <w:rPr>
          <w:sz w:val="22"/>
          <w:szCs w:val="22"/>
        </w:rPr>
      </w:pPr>
      <w:r w:rsidRPr="00152179">
        <w:rPr>
          <w:sz w:val="22"/>
          <w:szCs w:val="22"/>
        </w:rPr>
        <w:t>DAĞITIM</w:t>
      </w:r>
    </w:p>
    <w:p w:rsidR="00E01DEF" w:rsidRPr="00152179" w:rsidRDefault="00E01DEF" w:rsidP="00E01DEF">
      <w:pPr>
        <w:rPr>
          <w:sz w:val="22"/>
          <w:szCs w:val="22"/>
        </w:rPr>
      </w:pPr>
      <w:r w:rsidRPr="00152179">
        <w:rPr>
          <w:sz w:val="22"/>
          <w:szCs w:val="22"/>
        </w:rPr>
        <w:t>Tüm Güm ve Tic Böl Mdr</w:t>
      </w:r>
    </w:p>
    <w:p w:rsidR="003F0D3B" w:rsidRPr="00E01DEF" w:rsidRDefault="003F0D3B" w:rsidP="00E01DEF">
      <w:bookmarkStart w:id="0" w:name="_GoBack"/>
      <w:bookmarkEnd w:id="0"/>
    </w:p>
    <w:sectPr w:rsidR="003F0D3B" w:rsidRPr="00E01DEF" w:rsidSect="00AB1D64">
      <w:headerReference w:type="even" r:id="rId8"/>
      <w:headerReference w:type="default" r:id="rId9"/>
      <w:footerReference w:type="even" r:id="rId10"/>
      <w:footerReference w:type="default" r:id="rId11"/>
      <w:headerReference w:type="first" r:id="rId12"/>
      <w:footerReference w:type="first" r:id="rId13"/>
      <w:pgSz w:w="11906" w:h="16838"/>
      <w:pgMar w:top="1417" w:right="926"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514" w:rsidRDefault="00F97514" w:rsidP="00872AF0">
      <w:r>
        <w:separator/>
      </w:r>
    </w:p>
  </w:endnote>
  <w:endnote w:type="continuationSeparator" w:id="0">
    <w:p w:rsidR="00F97514" w:rsidRDefault="00F97514" w:rsidP="0087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A05" w:rsidRDefault="00F50CF7" w:rsidP="00A104F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65A05" w:rsidRDefault="00F97514" w:rsidP="00A104F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A05" w:rsidRPr="00742F13" w:rsidRDefault="00F50CF7" w:rsidP="00A104F6">
    <w:pPr>
      <w:pStyle w:val="AltBilgi"/>
      <w:framePr w:wrap="around" w:vAnchor="text" w:hAnchor="margin" w:xAlign="right" w:y="1"/>
      <w:rPr>
        <w:rStyle w:val="SayfaNumaras"/>
        <w:sz w:val="20"/>
      </w:rPr>
    </w:pPr>
    <w:r w:rsidRPr="00742F13">
      <w:rPr>
        <w:rStyle w:val="SayfaNumaras"/>
        <w:sz w:val="20"/>
      </w:rPr>
      <w:fldChar w:fldCharType="begin"/>
    </w:r>
    <w:r w:rsidRPr="00742F13">
      <w:rPr>
        <w:rStyle w:val="SayfaNumaras"/>
        <w:sz w:val="20"/>
      </w:rPr>
      <w:instrText xml:space="preserve">PAGE  </w:instrText>
    </w:r>
    <w:r w:rsidRPr="00742F13">
      <w:rPr>
        <w:rStyle w:val="SayfaNumaras"/>
        <w:sz w:val="20"/>
      </w:rPr>
      <w:fldChar w:fldCharType="separate"/>
    </w:r>
    <w:r w:rsidR="00E01DEF">
      <w:rPr>
        <w:rStyle w:val="SayfaNumaras"/>
        <w:noProof/>
        <w:sz w:val="20"/>
      </w:rPr>
      <w:t>1</w:t>
    </w:r>
    <w:r w:rsidRPr="00742F13">
      <w:rPr>
        <w:rStyle w:val="SayfaNumaras"/>
        <w:sz w:val="20"/>
      </w:rPr>
      <w:fldChar w:fldCharType="end"/>
    </w:r>
  </w:p>
  <w:p w:rsidR="00C65A05" w:rsidRDefault="00F97514" w:rsidP="00A104F6">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05" w:rsidRDefault="0023620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514" w:rsidRDefault="00F97514" w:rsidP="00872AF0">
      <w:r>
        <w:separator/>
      </w:r>
    </w:p>
  </w:footnote>
  <w:footnote w:type="continuationSeparator" w:id="0">
    <w:p w:rsidR="00F97514" w:rsidRDefault="00F97514" w:rsidP="00872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05" w:rsidRDefault="00F97514">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82968" o:spid="_x0000_s2050" type="#_x0000_t75" style="position:absolute;margin-left:0;margin-top:0;width:478.05pt;height:268.5pt;z-index:-251657216;mso-position-horizontal:center;mso-position-horizontal-relative:margin;mso-position-vertical:center;mso-position-vertical-relative:margin" o:allowincell="f">
          <v:imagedata r:id="rId1" o:title="2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05" w:rsidRDefault="00F97514">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82969" o:spid="_x0000_s2051" type="#_x0000_t75" style="position:absolute;margin-left:0;margin-top:0;width:478.05pt;height:268.5pt;z-index:-251656192;mso-position-horizontal:center;mso-position-horizontal-relative:margin;mso-position-vertical:center;mso-position-vertical-relative:margin" o:allowincell="f">
          <v:imagedata r:id="rId1" o:title="2E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05" w:rsidRDefault="00F97514">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82967" o:spid="_x0000_s2049" type="#_x0000_t75" style="position:absolute;margin-left:0;margin-top:0;width:478.05pt;height:268.5pt;z-index:-251658240;mso-position-horizontal:center;mso-position-horizontal-relative:margin;mso-position-vertical:center;mso-position-vertical-relative:margin" o:allowincell="f">
          <v:imagedata r:id="rId1" o:title="2E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384081C"/>
    <w:lvl w:ilvl="0">
      <w:numFmt w:val="bullet"/>
      <w:lvlText w:val="*"/>
      <w:lvlJc w:val="left"/>
    </w:lvl>
  </w:abstractNum>
  <w:abstractNum w:abstractNumId="1" w15:restartNumberingAfterBreak="0">
    <w:nsid w:val="06A64215"/>
    <w:multiLevelType w:val="hybridMultilevel"/>
    <w:tmpl w:val="9D5C44F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15:restartNumberingAfterBreak="0">
    <w:nsid w:val="4AE60E65"/>
    <w:multiLevelType w:val="hybridMultilevel"/>
    <w:tmpl w:val="273C9578"/>
    <w:lvl w:ilvl="0" w:tplc="AC28F45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6C31F34"/>
    <w:multiLevelType w:val="hybridMultilevel"/>
    <w:tmpl w:val="CEB47A3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AF0"/>
    <w:rsid w:val="00053B89"/>
    <w:rsid w:val="001146D4"/>
    <w:rsid w:val="00184B1E"/>
    <w:rsid w:val="00204119"/>
    <w:rsid w:val="00236205"/>
    <w:rsid w:val="002B692C"/>
    <w:rsid w:val="00311613"/>
    <w:rsid w:val="00365330"/>
    <w:rsid w:val="003C622C"/>
    <w:rsid w:val="003F0D3B"/>
    <w:rsid w:val="004472AA"/>
    <w:rsid w:val="0054609F"/>
    <w:rsid w:val="005979BB"/>
    <w:rsid w:val="006B4A19"/>
    <w:rsid w:val="00872AF0"/>
    <w:rsid w:val="00916AA5"/>
    <w:rsid w:val="00AB12A9"/>
    <w:rsid w:val="00B5095D"/>
    <w:rsid w:val="00CC4547"/>
    <w:rsid w:val="00D125EE"/>
    <w:rsid w:val="00E01DEF"/>
    <w:rsid w:val="00E22E08"/>
    <w:rsid w:val="00F50CF7"/>
    <w:rsid w:val="00F975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4230DEC-4BC9-41AF-A4C5-17D6A5FB7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2AF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link w:val="Gvdemetni21"/>
    <w:rsid w:val="00872AF0"/>
    <w:rPr>
      <w:b/>
      <w:bCs/>
      <w:sz w:val="23"/>
      <w:szCs w:val="23"/>
      <w:shd w:val="clear" w:color="auto" w:fill="FFFFFF"/>
    </w:rPr>
  </w:style>
  <w:style w:type="paragraph" w:customStyle="1" w:styleId="Gvdemetni21">
    <w:name w:val="Gövde metni (2)1"/>
    <w:basedOn w:val="Normal"/>
    <w:link w:val="Gvdemetni2"/>
    <w:rsid w:val="00872AF0"/>
    <w:pPr>
      <w:shd w:val="clear" w:color="auto" w:fill="FFFFFF"/>
      <w:spacing w:line="240" w:lineRule="atLeast"/>
    </w:pPr>
    <w:rPr>
      <w:rFonts w:asciiTheme="minorHAnsi" w:eastAsiaTheme="minorHAnsi" w:hAnsiTheme="minorHAnsi" w:cstheme="minorBidi"/>
      <w:b/>
      <w:bCs/>
      <w:sz w:val="23"/>
      <w:szCs w:val="23"/>
      <w:shd w:val="clear" w:color="auto" w:fill="FFFFFF"/>
      <w:lang w:eastAsia="en-US"/>
    </w:rPr>
  </w:style>
  <w:style w:type="character" w:customStyle="1" w:styleId="Gvdemetni">
    <w:name w:val="Gövde metni_"/>
    <w:link w:val="Gvdemetni1"/>
    <w:rsid w:val="00872AF0"/>
    <w:rPr>
      <w:sz w:val="23"/>
      <w:szCs w:val="23"/>
      <w:shd w:val="clear" w:color="auto" w:fill="FFFFFF"/>
    </w:rPr>
  </w:style>
  <w:style w:type="paragraph" w:customStyle="1" w:styleId="Gvdemetni1">
    <w:name w:val="Gövde metni1"/>
    <w:basedOn w:val="Normal"/>
    <w:link w:val="Gvdemetni"/>
    <w:rsid w:val="00872AF0"/>
    <w:pPr>
      <w:shd w:val="clear" w:color="auto" w:fill="FFFFFF"/>
      <w:spacing w:after="360" w:line="240" w:lineRule="atLeast"/>
      <w:ind w:hanging="780"/>
    </w:pPr>
    <w:rPr>
      <w:rFonts w:asciiTheme="minorHAnsi" w:eastAsiaTheme="minorHAnsi" w:hAnsiTheme="minorHAnsi" w:cstheme="minorBidi"/>
      <w:sz w:val="23"/>
      <w:szCs w:val="23"/>
      <w:shd w:val="clear" w:color="auto" w:fill="FFFFFF"/>
      <w:lang w:eastAsia="en-US"/>
    </w:rPr>
  </w:style>
  <w:style w:type="paragraph" w:styleId="AltBilgi">
    <w:name w:val="footer"/>
    <w:basedOn w:val="Normal"/>
    <w:link w:val="AltBilgiChar"/>
    <w:rsid w:val="00872AF0"/>
    <w:pPr>
      <w:tabs>
        <w:tab w:val="center" w:pos="4536"/>
        <w:tab w:val="right" w:pos="9072"/>
      </w:tabs>
    </w:pPr>
  </w:style>
  <w:style w:type="character" w:customStyle="1" w:styleId="AltBilgiChar">
    <w:name w:val="Alt Bilgi Char"/>
    <w:basedOn w:val="VarsaylanParagrafYazTipi"/>
    <w:link w:val="AltBilgi"/>
    <w:rsid w:val="00872AF0"/>
    <w:rPr>
      <w:rFonts w:ascii="Times New Roman" w:eastAsia="Times New Roman" w:hAnsi="Times New Roman" w:cs="Times New Roman"/>
      <w:sz w:val="24"/>
      <w:szCs w:val="24"/>
      <w:lang w:eastAsia="tr-TR"/>
    </w:rPr>
  </w:style>
  <w:style w:type="character" w:styleId="Kpr">
    <w:name w:val="Hyperlink"/>
    <w:rsid w:val="00872AF0"/>
    <w:rPr>
      <w:color w:val="0000FF"/>
      <w:u w:val="single"/>
    </w:rPr>
  </w:style>
  <w:style w:type="paragraph" w:styleId="stBilgi">
    <w:name w:val="header"/>
    <w:basedOn w:val="Normal"/>
    <w:link w:val="stBilgiChar"/>
    <w:rsid w:val="00872AF0"/>
    <w:pPr>
      <w:tabs>
        <w:tab w:val="center" w:pos="4536"/>
        <w:tab w:val="right" w:pos="9072"/>
      </w:tabs>
    </w:pPr>
  </w:style>
  <w:style w:type="character" w:customStyle="1" w:styleId="stBilgiChar">
    <w:name w:val="Üst Bilgi Char"/>
    <w:basedOn w:val="VarsaylanParagrafYazTipi"/>
    <w:link w:val="stBilgi"/>
    <w:rsid w:val="00872AF0"/>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872AF0"/>
    <w:rPr>
      <w:sz w:val="20"/>
      <w:szCs w:val="20"/>
    </w:rPr>
  </w:style>
  <w:style w:type="character" w:customStyle="1" w:styleId="DipnotMetniChar">
    <w:name w:val="Dipnot Metni Char"/>
    <w:basedOn w:val="VarsaylanParagrafYazTipi"/>
    <w:link w:val="DipnotMetni"/>
    <w:semiHidden/>
    <w:rsid w:val="00872AF0"/>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unhideWhenUsed/>
    <w:rsid w:val="00872AF0"/>
    <w:rPr>
      <w:rFonts w:ascii="Tahoma" w:hAnsi="Tahoma" w:cs="Tahoma"/>
      <w:sz w:val="16"/>
      <w:szCs w:val="16"/>
    </w:rPr>
  </w:style>
  <w:style w:type="character" w:customStyle="1" w:styleId="BalonMetniChar">
    <w:name w:val="Balon Metni Char"/>
    <w:basedOn w:val="VarsaylanParagrafYazTipi"/>
    <w:link w:val="BalonMetni"/>
    <w:semiHidden/>
    <w:rsid w:val="00872AF0"/>
    <w:rPr>
      <w:rFonts w:ascii="Tahoma" w:eastAsia="Times New Roman" w:hAnsi="Tahoma" w:cs="Tahoma"/>
      <w:sz w:val="16"/>
      <w:szCs w:val="16"/>
      <w:lang w:eastAsia="tr-TR"/>
    </w:rPr>
  </w:style>
  <w:style w:type="character" w:styleId="zlenenKpr">
    <w:name w:val="FollowedHyperlink"/>
    <w:basedOn w:val="VarsaylanParagrafYazTipi"/>
    <w:rsid w:val="00872AF0"/>
    <w:rPr>
      <w:color w:val="800080"/>
      <w:u w:val="single"/>
    </w:rPr>
  </w:style>
  <w:style w:type="character" w:styleId="SayfaNumaras">
    <w:name w:val="page number"/>
    <w:basedOn w:val="VarsaylanParagrafYazTipi"/>
    <w:rsid w:val="00872AF0"/>
  </w:style>
  <w:style w:type="character" w:customStyle="1" w:styleId="apple-converted-space">
    <w:name w:val="apple-converted-space"/>
    <w:basedOn w:val="VarsaylanParagrafYazTipi"/>
    <w:rsid w:val="00204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mecit.ozaydin\Desktop\WEB\Di&#287;er%20Tebli&#287;ler\G&#252;mr&#252;k%20Genel%20Tebli&#287;i%20(Yetkilendirilmi&#351;%20G&#252;mr&#252;k%20M&#252;&#351;avirli&#287;i)%20Seri%20No%202.doc"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2850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Mecit ÖZAYDIN</dc:creator>
  <cp:keywords/>
  <dc:description/>
  <cp:lastModifiedBy>Mecit ÖZAYDIN</cp:lastModifiedBy>
  <cp:revision>2</cp:revision>
  <dcterms:created xsi:type="dcterms:W3CDTF">2018-01-12T12:21:00Z</dcterms:created>
  <dcterms:modified xsi:type="dcterms:W3CDTF">2018-01-12T12:21:00Z</dcterms:modified>
</cp:coreProperties>
</file>