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AF" w:rsidRPr="007A0F56" w:rsidRDefault="00C920AF" w:rsidP="00C920A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0F56">
        <w:rPr>
          <w:b/>
          <w:bCs/>
          <w:sz w:val="22"/>
          <w:szCs w:val="22"/>
        </w:rPr>
        <w:t>T.C.</w:t>
      </w:r>
    </w:p>
    <w:p w:rsidR="00C920AF" w:rsidRPr="007A0F56" w:rsidRDefault="00C920AF" w:rsidP="00C920A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0F56">
        <w:rPr>
          <w:b/>
          <w:bCs/>
          <w:sz w:val="22"/>
          <w:szCs w:val="22"/>
        </w:rPr>
        <w:t>GÜMRÜK VE TİCARET BAKANLIĞI</w:t>
      </w:r>
    </w:p>
    <w:p w:rsidR="00C920AF" w:rsidRPr="007A0F56" w:rsidRDefault="00C920AF" w:rsidP="00C920A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0F56">
        <w:rPr>
          <w:b/>
          <w:bCs/>
          <w:sz w:val="22"/>
          <w:szCs w:val="22"/>
        </w:rPr>
        <w:t>Gümrükler Genel Müdürlüğü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7A0F56">
        <w:rPr>
          <w:b/>
          <w:sz w:val="22"/>
          <w:szCs w:val="22"/>
        </w:rPr>
        <w:t>Sayı</w:t>
      </w:r>
      <w:r w:rsidRPr="007A0F56">
        <w:rPr>
          <w:b/>
          <w:sz w:val="22"/>
          <w:szCs w:val="22"/>
        </w:rPr>
        <w:tab/>
        <w:t>:</w:t>
      </w:r>
      <w:r w:rsidRPr="007A0F56">
        <w:rPr>
          <w:sz w:val="22"/>
          <w:szCs w:val="22"/>
        </w:rPr>
        <w:t>40216608-604.99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7A0F56">
        <w:rPr>
          <w:b/>
          <w:sz w:val="22"/>
          <w:szCs w:val="22"/>
        </w:rPr>
        <w:t>Konu</w:t>
      </w:r>
      <w:r w:rsidRPr="007A0F56">
        <w:rPr>
          <w:b/>
          <w:sz w:val="22"/>
          <w:szCs w:val="22"/>
        </w:rPr>
        <w:tab/>
        <w:t>:</w:t>
      </w:r>
      <w:r w:rsidRPr="007A0F56">
        <w:rPr>
          <w:sz w:val="22"/>
          <w:szCs w:val="22"/>
        </w:rPr>
        <w:t>YGM Sisteminde Antrepo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Rejimiyle İlgili Düzenlemeler</w:t>
      </w:r>
    </w:p>
    <w:p w:rsidR="00C920AF" w:rsidRPr="001A7617" w:rsidRDefault="00C920AF" w:rsidP="00C920AF">
      <w:pPr>
        <w:autoSpaceDE w:val="0"/>
        <w:autoSpaceDN w:val="0"/>
        <w:adjustRightInd w:val="0"/>
        <w:spacing w:before="120"/>
        <w:rPr>
          <w:bCs/>
          <w:sz w:val="20"/>
          <w:szCs w:val="22"/>
        </w:rPr>
      </w:pPr>
      <w:r w:rsidRPr="001A7617">
        <w:rPr>
          <w:bCs/>
          <w:sz w:val="20"/>
          <w:szCs w:val="22"/>
          <w:highlight w:val="green"/>
        </w:rPr>
        <w:t xml:space="preserve">19.06.2017 / 25865194 </w:t>
      </w:r>
      <w:hyperlink r:id="rId7" w:history="1">
        <w:r w:rsidRPr="001A7617">
          <w:rPr>
            <w:rStyle w:val="Kpr"/>
            <w:bCs/>
            <w:sz w:val="20"/>
            <w:szCs w:val="22"/>
            <w:highlight w:val="green"/>
          </w:rPr>
          <w:t>yazıda</w:t>
        </w:r>
      </w:hyperlink>
      <w:r w:rsidRPr="001A7617">
        <w:rPr>
          <w:bCs/>
          <w:sz w:val="20"/>
          <w:szCs w:val="22"/>
          <w:highlight w:val="green"/>
        </w:rPr>
        <w:t xml:space="preserve"> ant.boşaltma </w:t>
      </w:r>
      <w:r>
        <w:rPr>
          <w:bCs/>
          <w:sz w:val="20"/>
          <w:szCs w:val="22"/>
          <w:highlight w:val="green"/>
        </w:rPr>
        <w:t>bilgisi</w:t>
      </w:r>
      <w:r w:rsidRPr="001A7617">
        <w:rPr>
          <w:bCs/>
          <w:sz w:val="20"/>
          <w:szCs w:val="22"/>
          <w:highlight w:val="green"/>
        </w:rPr>
        <w:t xml:space="preserve"> işlenmiştir</w:t>
      </w:r>
    </w:p>
    <w:p w:rsidR="00C920AF" w:rsidRDefault="00C920AF" w:rsidP="00C920AF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C920AF" w:rsidRDefault="00C920AF" w:rsidP="00C920AF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07.02.2017 / 22443056</w:t>
      </w:r>
    </w:p>
    <w:p w:rsidR="00C920AF" w:rsidRDefault="00C920AF" w:rsidP="00C920AF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7A0F56">
        <w:rPr>
          <w:b/>
          <w:bCs/>
          <w:sz w:val="22"/>
          <w:szCs w:val="22"/>
        </w:rPr>
        <w:t>DAĞITIM YERLERİNE</w:t>
      </w:r>
    </w:p>
    <w:p w:rsidR="00C920AF" w:rsidRDefault="00C920AF" w:rsidP="00C920AF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C920AF" w:rsidRPr="007A0F56" w:rsidRDefault="00C920AF" w:rsidP="00C920AF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 xml:space="preserve">Bilindiği gibi, “Antrepolarda YGM/Memur Görevlendirilmesi” konulu </w:t>
      </w:r>
      <w:hyperlink r:id="rId8" w:history="1">
        <w:r w:rsidRPr="00FE7FE8">
          <w:rPr>
            <w:rStyle w:val="Kpr"/>
            <w:sz w:val="22"/>
            <w:szCs w:val="22"/>
          </w:rPr>
          <w:t>2016/23</w:t>
        </w:r>
      </w:hyperlink>
      <w:r w:rsidRPr="007A0F56">
        <w:rPr>
          <w:sz w:val="22"/>
          <w:szCs w:val="22"/>
        </w:rPr>
        <w:t xml:space="preserve"> sayılı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Genelge uyarınca antrepolarda;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- Esas olarak yetkilendirilmiş gümrük müşaviri (YGM), Gümrük Genel Tebliği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(Yetkilendirilmiş Gümrük Müşavirliği) (</w:t>
      </w:r>
      <w:hyperlink r:id="rId9" w:history="1">
        <w:r w:rsidRPr="00AB4E1F">
          <w:rPr>
            <w:rStyle w:val="Kpr"/>
            <w:sz w:val="22"/>
            <w:szCs w:val="22"/>
          </w:rPr>
          <w:t>Seri No:6</w:t>
        </w:r>
      </w:hyperlink>
      <w:r w:rsidRPr="007A0F56">
        <w:rPr>
          <w:sz w:val="22"/>
          <w:szCs w:val="22"/>
        </w:rPr>
        <w:t>) ve bu Tebliğe dayanılarak çıkarılan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Genelge hükümlerine göre görev yapacaktır.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- İlgili mevzuat hükümleri dikkate alınarak yeterli sayıda YGM olmadığının tespit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edilmesi durumunda Bölge Müdürlüğünüz tarafından memur görevlendirilmesi yapılacaktır.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- Gerekli görülmesi halinde antrepolarda, Genel Müdürlüğümüzün izniyle YGM’lerin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yanı sıra memur görevlendirmesi de yapılabilecektir.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Mezkur Genelgede antrepo işleticileri tarafından tutulan stok kayıtları ile gümrük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idaresi kayıtlarının düzenli olarak karşılaştırılacağı, söz konusu kayıtların mevcut durumu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yansıtıp yansıtmadığının kontrol edileceği hususlarına da yer verilmiştir.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Ayrıca, antrepolara eşya giriş ve antrepolardan eşya çıkış işlemlerinin hem hızlı hem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de kontrollü bir şekilde yapılması önem arz etmektedir.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Bu çerçevede, antrepoya her bir giriş/çıkış işleminin tespitine yönelik olarak antrepo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işleticilerince tutulan antrepo stok kayıtları ile girişte antrepo beyannamesine ait eşya-miktar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bilgilerinin, çıkışta ise antrepo beyannamesi/antrepo rejimini sonlandıran beyanname ya da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işlemlere ilişkin eşya-miktar bilgilerinin uyumlu olup olmadığının kontrol edilmesi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gerekmektedir.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Diğer taraftan, antrepo rejimi ile ilgili işlemlerde, TIR-Transit Takip Programı,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BİLGE, NCTS ve Yetkilendirilmiş Gümrük Müşavirleri (YGMS) Sistemleri kullanılmaktadır.</w:t>
      </w:r>
      <w:r>
        <w:rPr>
          <w:sz w:val="22"/>
          <w:szCs w:val="22"/>
        </w:rPr>
        <w:t xml:space="preserve"> 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Antrepoya eşya girişi ve antrepodan eşya çıkışı işlemlerinin etkin, kolay bir şekilde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gerçekleştirilebilmesini teminen yukarıda belirtilen sistemlerdeki antrepo beyannamesi ile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antrepo rejimini sonlandıran işlemlere dair ekteki tabloda yer alan bilgiler YGMS’ye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yansıtılmıştır.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YGMS’de yapılan mezkur düzenleme;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1- Antrepolara eşya giriş ve antrepolardan eşya çıkış işlemleri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2- Antrepolarda yapılacak kontrol ve denetimler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3- Sistemde kapanmayan antrepo beyannamelerinin kontrolü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Amaçlarıyla kullanılabilecektir.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lastRenderedPageBreak/>
        <w:t>YGMS’deki düzenlemelere aşağıda belirtildiği şekilde YGM ve ilgili gümrük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personelince erişim sağlanabilecektir: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1- YGMS’ye döküm bölümü eklenmiş, bu bölümden “antrepo kodu-tarih aralığı” veya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“antrepo kodu-antrepo beyannamesi numarası”na göre antrepo beyannamesi ile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antrepo beyannamesini kapatan beyannamelere/antrepo rejimini sonlandıran işlemlere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ilişkin ekteki bilgilerin görüntülenebilmesi sağlanmıştır.</w:t>
      </w:r>
    </w:p>
    <w:p w:rsidR="00C920AF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2- Çalıştıkları antrepolarla sınırlı olmak üzere YGM’lerce birinci maddede sayılan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kriterlere göre YGMS-Döküm bölümünden sorgu yapılabilecektir.</w:t>
      </w:r>
      <w:r>
        <w:rPr>
          <w:sz w:val="22"/>
          <w:szCs w:val="22"/>
        </w:rPr>
        <w:t xml:space="preserve"> 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3- Bölge Müdürlüğünüz ve bağlantınız gümrük müdürlüklerinde görevli ilgili gümrük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personelince de, idare amirleri tarafından YGMS’de yetkilendirilmelerinin uygun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görülmesi halinde birinci maddede sayılan kriterlere göre YGMS-Döküm bölümünden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sorgu yapılabilecektir.</w:t>
      </w:r>
    </w:p>
    <w:p w:rsidR="00C920AF" w:rsidRPr="007A0F56" w:rsidRDefault="00C920AF" w:rsidP="00C920AF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7A0F56">
        <w:rPr>
          <w:sz w:val="22"/>
          <w:szCs w:val="22"/>
        </w:rPr>
        <w:t>Bilgi ve gereği ile bağlantınız gümrük müdürlüklerine duyurulması hususunda</w:t>
      </w:r>
      <w:r>
        <w:rPr>
          <w:sz w:val="22"/>
          <w:szCs w:val="22"/>
        </w:rPr>
        <w:t xml:space="preserve"> </w:t>
      </w:r>
      <w:r w:rsidRPr="007A0F56">
        <w:rPr>
          <w:sz w:val="22"/>
          <w:szCs w:val="22"/>
        </w:rPr>
        <w:t>gereğini rica ederim.</w:t>
      </w:r>
    </w:p>
    <w:p w:rsidR="00C920AF" w:rsidRDefault="00C920AF" w:rsidP="00C920AF">
      <w:pPr>
        <w:autoSpaceDE w:val="0"/>
        <w:autoSpaceDN w:val="0"/>
        <w:adjustRightInd w:val="0"/>
        <w:rPr>
          <w:sz w:val="22"/>
          <w:szCs w:val="22"/>
        </w:rPr>
      </w:pPr>
    </w:p>
    <w:p w:rsidR="00C920AF" w:rsidRDefault="00C920AF" w:rsidP="00C920AF">
      <w:pPr>
        <w:autoSpaceDE w:val="0"/>
        <w:autoSpaceDN w:val="0"/>
        <w:adjustRightInd w:val="0"/>
        <w:rPr>
          <w:sz w:val="22"/>
          <w:szCs w:val="22"/>
        </w:rPr>
      </w:pPr>
    </w:p>
    <w:p w:rsidR="00C920AF" w:rsidRPr="007A0F56" w:rsidRDefault="00C920AF" w:rsidP="00C920A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A0F56">
        <w:rPr>
          <w:sz w:val="22"/>
          <w:szCs w:val="22"/>
        </w:rPr>
        <w:t>Mustafa GÜMÜŞ</w:t>
      </w:r>
    </w:p>
    <w:p w:rsidR="00C920AF" w:rsidRPr="007A0F56" w:rsidRDefault="00C920AF" w:rsidP="00C920A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A0F56">
        <w:rPr>
          <w:sz w:val="22"/>
          <w:szCs w:val="22"/>
        </w:rPr>
        <w:t>Bakan a.</w:t>
      </w:r>
    </w:p>
    <w:p w:rsidR="00C920AF" w:rsidRPr="007A0F56" w:rsidRDefault="00C920AF" w:rsidP="00C920A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A0F56">
        <w:rPr>
          <w:sz w:val="22"/>
          <w:szCs w:val="22"/>
        </w:rPr>
        <w:t>Genel Müdür V.</w:t>
      </w:r>
    </w:p>
    <w:p w:rsidR="00C920AF" w:rsidRDefault="00C920AF" w:rsidP="00C920AF">
      <w:pPr>
        <w:autoSpaceDE w:val="0"/>
        <w:autoSpaceDN w:val="0"/>
        <w:adjustRightInd w:val="0"/>
        <w:rPr>
          <w:sz w:val="22"/>
          <w:szCs w:val="22"/>
        </w:rPr>
      </w:pPr>
    </w:p>
    <w:p w:rsidR="00C920AF" w:rsidRDefault="00C920AF" w:rsidP="00C920AF">
      <w:pPr>
        <w:autoSpaceDE w:val="0"/>
        <w:autoSpaceDN w:val="0"/>
        <w:adjustRightInd w:val="0"/>
        <w:rPr>
          <w:sz w:val="22"/>
          <w:szCs w:val="22"/>
        </w:rPr>
      </w:pPr>
    </w:p>
    <w:p w:rsidR="00C920AF" w:rsidRPr="007A0F56" w:rsidRDefault="00C920AF" w:rsidP="00C920AF">
      <w:pPr>
        <w:autoSpaceDE w:val="0"/>
        <w:autoSpaceDN w:val="0"/>
        <w:adjustRightInd w:val="0"/>
        <w:rPr>
          <w:b/>
          <w:sz w:val="22"/>
          <w:szCs w:val="22"/>
        </w:rPr>
      </w:pPr>
      <w:r w:rsidRPr="007A0F56">
        <w:rPr>
          <w:b/>
          <w:sz w:val="22"/>
          <w:szCs w:val="22"/>
        </w:rPr>
        <w:t>Ek:</w:t>
      </w:r>
    </w:p>
    <w:p w:rsidR="00C920AF" w:rsidRPr="007A0F56" w:rsidRDefault="00C920AF" w:rsidP="00C920AF">
      <w:pPr>
        <w:autoSpaceDE w:val="0"/>
        <w:autoSpaceDN w:val="0"/>
        <w:adjustRightInd w:val="0"/>
        <w:rPr>
          <w:sz w:val="22"/>
          <w:szCs w:val="22"/>
        </w:rPr>
      </w:pPr>
      <w:r w:rsidRPr="007A0F56">
        <w:rPr>
          <w:sz w:val="22"/>
          <w:szCs w:val="22"/>
        </w:rPr>
        <w:t>Tablo</w:t>
      </w:r>
    </w:p>
    <w:p w:rsidR="00C920AF" w:rsidRDefault="00C920AF" w:rsidP="00C920A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920AF" w:rsidRDefault="00C920AF" w:rsidP="00C920A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920AF" w:rsidRDefault="00C920AF" w:rsidP="00C920A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920AF" w:rsidRDefault="00C920AF" w:rsidP="00C920A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920AF" w:rsidRPr="007A0F56" w:rsidRDefault="00C920AF" w:rsidP="00C920AF">
      <w:pPr>
        <w:autoSpaceDE w:val="0"/>
        <w:autoSpaceDN w:val="0"/>
        <w:adjustRightInd w:val="0"/>
        <w:rPr>
          <w:b/>
          <w:sz w:val="22"/>
          <w:szCs w:val="22"/>
        </w:rPr>
      </w:pPr>
      <w:r w:rsidRPr="007A0F56">
        <w:rPr>
          <w:b/>
          <w:sz w:val="22"/>
          <w:szCs w:val="22"/>
        </w:rPr>
        <w:t>DAĞITIM:</w:t>
      </w:r>
    </w:p>
    <w:p w:rsidR="00C920AF" w:rsidRDefault="00C920AF" w:rsidP="00C920AF">
      <w:pPr>
        <w:autoSpaceDE w:val="0"/>
        <w:autoSpaceDN w:val="0"/>
        <w:adjustRightInd w:val="0"/>
        <w:rPr>
          <w:sz w:val="22"/>
          <w:szCs w:val="22"/>
        </w:rPr>
      </w:pPr>
      <w:r w:rsidRPr="007A0F56">
        <w:rPr>
          <w:sz w:val="22"/>
          <w:szCs w:val="22"/>
        </w:rPr>
        <w:t>Tüm Gümrük ve Ticaret Bölge Müdürlükleri</w:t>
      </w:r>
    </w:p>
    <w:p w:rsidR="00C920AF" w:rsidRDefault="00C920AF" w:rsidP="00C920AF">
      <w:pPr>
        <w:rPr>
          <w:sz w:val="22"/>
          <w:szCs w:val="22"/>
        </w:rPr>
      </w:pPr>
    </w:p>
    <w:p w:rsidR="00C920AF" w:rsidRDefault="00C920AF" w:rsidP="00C920AF">
      <w:pPr>
        <w:rPr>
          <w:sz w:val="22"/>
          <w:szCs w:val="22"/>
        </w:rPr>
      </w:pPr>
    </w:p>
    <w:p w:rsidR="00C920AF" w:rsidRDefault="00C920AF" w:rsidP="00C920AF">
      <w:pPr>
        <w:rPr>
          <w:sz w:val="22"/>
          <w:szCs w:val="22"/>
        </w:rPr>
        <w:sectPr w:rsidR="00C920AF" w:rsidSect="003E0D6D">
          <w:headerReference w:type="default" r:id="rId10"/>
          <w:footerReference w:type="even" r:id="rId11"/>
          <w:footerReference w:type="default" r:id="rId12"/>
          <w:pgSz w:w="12240" w:h="15840"/>
          <w:pgMar w:top="1418" w:right="1080" w:bottom="1418" w:left="1418" w:header="709" w:footer="709" w:gutter="0"/>
          <w:cols w:space="708"/>
          <w:noEndnote/>
        </w:sectPr>
      </w:pPr>
    </w:p>
    <w:p w:rsidR="00C920AF" w:rsidRPr="00CA6B51" w:rsidRDefault="00C920AF" w:rsidP="00C920AF">
      <w:pPr>
        <w:autoSpaceDE w:val="0"/>
        <w:autoSpaceDN w:val="0"/>
        <w:adjustRightInd w:val="0"/>
        <w:rPr>
          <w:sz w:val="20"/>
          <w:szCs w:val="20"/>
        </w:rPr>
      </w:pPr>
      <w:r w:rsidRPr="00CA6B51">
        <w:rPr>
          <w:color w:val="000000"/>
          <w:sz w:val="20"/>
          <w:szCs w:val="20"/>
        </w:rPr>
        <w:lastRenderedPageBreak/>
        <w:t xml:space="preserve">Başlangıç Tarihi: </w:t>
      </w:r>
    </w:p>
    <w:p w:rsidR="00C920AF" w:rsidRPr="00CA6B51" w:rsidRDefault="00C920AF" w:rsidP="00C920A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6B51">
        <w:rPr>
          <w:color w:val="000000"/>
          <w:sz w:val="20"/>
          <w:szCs w:val="20"/>
        </w:rPr>
        <w:t xml:space="preserve">Bitiş Tarihi: </w:t>
      </w:r>
    </w:p>
    <w:p w:rsidR="00C920AF" w:rsidRPr="00CA6B51" w:rsidRDefault="00C920AF" w:rsidP="00C920A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6B51">
        <w:rPr>
          <w:color w:val="000000"/>
          <w:sz w:val="20"/>
          <w:szCs w:val="20"/>
        </w:rPr>
        <w:t>Antrepo Beyanname No:</w:t>
      </w:r>
    </w:p>
    <w:p w:rsidR="00C920AF" w:rsidRPr="00CA6B51" w:rsidRDefault="00C920AF" w:rsidP="00C920AF">
      <w:pPr>
        <w:tabs>
          <w:tab w:val="left" w:pos="506"/>
          <w:tab w:val="left" w:pos="2183"/>
          <w:tab w:val="left" w:pos="2526"/>
          <w:tab w:val="left" w:pos="3084"/>
          <w:tab w:val="left" w:pos="3378"/>
          <w:tab w:val="left" w:pos="3672"/>
          <w:tab w:val="left" w:pos="3883"/>
          <w:tab w:val="left" w:pos="4094"/>
          <w:tab w:val="left" w:pos="4419"/>
          <w:tab w:val="left" w:pos="4744"/>
          <w:tab w:val="left" w:pos="5057"/>
          <w:tab w:val="left" w:pos="5370"/>
          <w:tab w:val="left" w:pos="5720"/>
          <w:tab w:val="left" w:pos="6070"/>
          <w:tab w:val="left" w:pos="6442"/>
          <w:tab w:val="left" w:pos="6814"/>
          <w:tab w:val="left" w:pos="8450"/>
          <w:tab w:val="left" w:pos="9192"/>
          <w:tab w:val="left" w:pos="9851"/>
          <w:tab w:val="left" w:pos="10426"/>
          <w:tab w:val="left" w:pos="10851"/>
          <w:tab w:val="left" w:pos="11125"/>
          <w:tab w:val="left" w:pos="11399"/>
          <w:tab w:val="left" w:pos="11765"/>
          <w:tab w:val="left" w:pos="12225"/>
          <w:tab w:val="left" w:pos="12584"/>
          <w:tab w:val="left" w:pos="12844"/>
        </w:tabs>
        <w:autoSpaceDE w:val="0"/>
        <w:autoSpaceDN w:val="0"/>
        <w:adjustRightInd w:val="0"/>
        <w:rPr>
          <w:sz w:val="20"/>
          <w:szCs w:val="20"/>
        </w:rPr>
      </w:pPr>
      <w:r w:rsidRPr="00CA6B51">
        <w:rPr>
          <w:color w:val="000000"/>
          <w:sz w:val="20"/>
          <w:szCs w:val="20"/>
        </w:rPr>
        <w:t>Antrepo Kodu:</w:t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</w:p>
    <w:p w:rsidR="00C920AF" w:rsidRPr="00CA6B51" w:rsidRDefault="00C920AF" w:rsidP="00C920AF">
      <w:pPr>
        <w:tabs>
          <w:tab w:val="left" w:pos="506"/>
          <w:tab w:val="left" w:pos="1118"/>
          <w:tab w:val="left" w:pos="1722"/>
          <w:tab w:val="left" w:pos="2183"/>
          <w:tab w:val="left" w:pos="2526"/>
          <w:tab w:val="left" w:pos="3084"/>
          <w:tab w:val="left" w:pos="3378"/>
          <w:tab w:val="left" w:pos="3672"/>
          <w:tab w:val="left" w:pos="3883"/>
          <w:tab w:val="left" w:pos="4094"/>
          <w:tab w:val="left" w:pos="4419"/>
          <w:tab w:val="left" w:pos="4744"/>
          <w:tab w:val="left" w:pos="5057"/>
          <w:tab w:val="left" w:pos="5370"/>
          <w:tab w:val="left" w:pos="5720"/>
          <w:tab w:val="left" w:pos="6070"/>
          <w:tab w:val="left" w:pos="6442"/>
          <w:tab w:val="left" w:pos="6814"/>
          <w:tab w:val="left" w:pos="8450"/>
          <w:tab w:val="left" w:pos="9192"/>
          <w:tab w:val="left" w:pos="9851"/>
          <w:tab w:val="left" w:pos="10426"/>
          <w:tab w:val="left" w:pos="10851"/>
          <w:tab w:val="left" w:pos="11125"/>
          <w:tab w:val="left" w:pos="11399"/>
          <w:tab w:val="left" w:pos="11765"/>
          <w:tab w:val="left" w:pos="12225"/>
          <w:tab w:val="left" w:pos="12584"/>
          <w:tab w:val="left" w:pos="12844"/>
        </w:tabs>
        <w:autoSpaceDE w:val="0"/>
        <w:autoSpaceDN w:val="0"/>
        <w:adjustRightInd w:val="0"/>
        <w:ind w:left="70"/>
        <w:rPr>
          <w:sz w:val="20"/>
          <w:szCs w:val="20"/>
        </w:rPr>
      </w:pP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</w:p>
    <w:p w:rsidR="00C920AF" w:rsidRPr="00CA6B51" w:rsidRDefault="00C920AF" w:rsidP="00C920AF">
      <w:pPr>
        <w:tabs>
          <w:tab w:val="left" w:pos="506"/>
          <w:tab w:val="left" w:pos="2183"/>
          <w:tab w:val="left" w:pos="2526"/>
          <w:tab w:val="left" w:pos="3084"/>
          <w:tab w:val="left" w:pos="3378"/>
          <w:tab w:val="left" w:pos="3672"/>
          <w:tab w:val="left" w:pos="3883"/>
          <w:tab w:val="left" w:pos="4094"/>
          <w:tab w:val="left" w:pos="4419"/>
          <w:tab w:val="left" w:pos="4744"/>
          <w:tab w:val="left" w:pos="5057"/>
          <w:tab w:val="left" w:pos="5370"/>
          <w:tab w:val="left" w:pos="5720"/>
          <w:tab w:val="left" w:pos="6070"/>
          <w:tab w:val="left" w:pos="6442"/>
          <w:tab w:val="left" w:pos="6814"/>
          <w:tab w:val="left" w:pos="8450"/>
          <w:tab w:val="left" w:pos="9192"/>
          <w:tab w:val="left" w:pos="9851"/>
          <w:tab w:val="left" w:pos="10426"/>
          <w:tab w:val="left" w:pos="10851"/>
          <w:tab w:val="left" w:pos="11125"/>
          <w:tab w:val="left" w:pos="11399"/>
          <w:tab w:val="left" w:pos="11765"/>
          <w:tab w:val="left" w:pos="12225"/>
          <w:tab w:val="left" w:pos="12584"/>
          <w:tab w:val="left" w:pos="12844"/>
        </w:tabs>
        <w:autoSpaceDE w:val="0"/>
        <w:autoSpaceDN w:val="0"/>
        <w:adjustRightInd w:val="0"/>
        <w:ind w:left="70"/>
        <w:rPr>
          <w:sz w:val="20"/>
          <w:szCs w:val="20"/>
        </w:rPr>
      </w:pP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  <w:r w:rsidRPr="00CA6B51">
        <w:rPr>
          <w:sz w:val="20"/>
          <w:szCs w:val="20"/>
        </w:rPr>
        <w:tab/>
      </w: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"/>
        <w:gridCol w:w="588"/>
        <w:gridCol w:w="834"/>
        <w:gridCol w:w="572"/>
        <w:gridCol w:w="634"/>
        <w:gridCol w:w="449"/>
        <w:gridCol w:w="642"/>
        <w:gridCol w:w="640"/>
        <w:gridCol w:w="714"/>
        <w:gridCol w:w="20"/>
        <w:gridCol w:w="712"/>
        <w:gridCol w:w="8"/>
        <w:gridCol w:w="1728"/>
        <w:gridCol w:w="1027"/>
        <w:gridCol w:w="1027"/>
        <w:gridCol w:w="423"/>
        <w:gridCol w:w="423"/>
        <w:gridCol w:w="803"/>
        <w:gridCol w:w="803"/>
      </w:tblGrid>
      <w:tr w:rsidR="00C920AF" w:rsidRPr="00CA6B51" w:rsidTr="00F57809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1027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ANTREPO BEYANNAME NO</w:t>
            </w:r>
          </w:p>
        </w:tc>
        <w:tc>
          <w:tcPr>
            <w:tcW w:w="588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STATU</w:t>
            </w:r>
          </w:p>
        </w:tc>
        <w:tc>
          <w:tcPr>
            <w:tcW w:w="834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MUAYENE HATTI</w:t>
            </w:r>
          </w:p>
        </w:tc>
        <w:tc>
          <w:tcPr>
            <w:tcW w:w="572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KAP ADEDİ</w:t>
            </w:r>
          </w:p>
        </w:tc>
        <w:tc>
          <w:tcPr>
            <w:tcW w:w="634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KALEM NO</w:t>
            </w:r>
          </w:p>
        </w:tc>
        <w:tc>
          <w:tcPr>
            <w:tcW w:w="449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GTİP</w:t>
            </w:r>
          </w:p>
        </w:tc>
        <w:tc>
          <w:tcPr>
            <w:tcW w:w="642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TARİFE TANIMI</w:t>
            </w:r>
          </w:p>
        </w:tc>
        <w:tc>
          <w:tcPr>
            <w:tcW w:w="640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TİCARİ TANIMI</w:t>
            </w:r>
          </w:p>
        </w:tc>
        <w:tc>
          <w:tcPr>
            <w:tcW w:w="714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SATIŞA ESAS BİRİM</w:t>
            </w:r>
          </w:p>
        </w:tc>
        <w:tc>
          <w:tcPr>
            <w:tcW w:w="732" w:type="dxa"/>
            <w:gridSpan w:val="2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SATIŞA ESAS MİKTAR</w:t>
            </w:r>
          </w:p>
        </w:tc>
        <w:tc>
          <w:tcPr>
            <w:tcW w:w="1736" w:type="dxa"/>
            <w:gridSpan w:val="2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KAPATAN BEYANNAME/TUTANAK NO</w:t>
            </w:r>
          </w:p>
        </w:tc>
        <w:tc>
          <w:tcPr>
            <w:tcW w:w="1027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KAPATAN BEYANNAME STATÜSÜ</w:t>
            </w:r>
          </w:p>
        </w:tc>
        <w:tc>
          <w:tcPr>
            <w:tcW w:w="1027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KAPATAN BEYANNAME TOPLAM KAP</w:t>
            </w:r>
          </w:p>
        </w:tc>
        <w:tc>
          <w:tcPr>
            <w:tcW w:w="846" w:type="dxa"/>
            <w:gridSpan w:val="2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KAPATAN KALEM NO</w:t>
            </w:r>
          </w:p>
        </w:tc>
        <w:tc>
          <w:tcPr>
            <w:tcW w:w="803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KAPATAN SATIŞA ESAS BİRİM</w:t>
            </w:r>
          </w:p>
        </w:tc>
        <w:tc>
          <w:tcPr>
            <w:tcW w:w="803" w:type="dxa"/>
            <w:textDirection w:val="btLr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KAPATAN SATIŞA ESAS MİKTAR</w:t>
            </w:r>
          </w:p>
        </w:tc>
      </w:tr>
      <w:tr w:rsidR="00C920AF" w:rsidRPr="00CA6B51" w:rsidTr="00F5780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27" w:type="dxa"/>
            <w:shd w:val="clear" w:color="000000" w:fill="FFFFFF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8" w:type="dxa"/>
            <w:shd w:val="clear" w:color="000000" w:fill="FFFFFF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000000" w:fill="FFFFFF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000000" w:fill="FFFFFF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000000" w:fill="FFFFFF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000000" w:fill="FFFFFF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000000" w:fill="FFFFFF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000000" w:fill="FFFFFF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shd w:val="clear" w:color="000000" w:fill="FFFFFF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000000" w:fill="FFFFFF"/>
            <w:vAlign w:val="center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5" w:type="dxa"/>
            <w:gridSpan w:val="4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>TOPLAM KALAN MİKTAR (KALEM BAZINDA HESAPLAMA)</w:t>
            </w:r>
          </w:p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B51">
              <w:rPr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226" w:type="dxa"/>
            <w:gridSpan w:val="2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C920AF" w:rsidRPr="00CA6B51" w:rsidRDefault="00C920AF" w:rsidP="00F578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B51">
              <w:rPr>
                <w:sz w:val="20"/>
                <w:szCs w:val="20"/>
              </w:rPr>
              <w:t> </w:t>
            </w:r>
          </w:p>
        </w:tc>
      </w:tr>
    </w:tbl>
    <w:p w:rsidR="00C920AF" w:rsidRPr="00CA6B51" w:rsidRDefault="00C920AF" w:rsidP="00C920AF">
      <w:pPr>
        <w:autoSpaceDE w:val="0"/>
        <w:autoSpaceDN w:val="0"/>
        <w:adjustRightInd w:val="0"/>
        <w:spacing w:after="160" w:line="259" w:lineRule="atLeast"/>
        <w:rPr>
          <w:sz w:val="20"/>
          <w:szCs w:val="20"/>
        </w:rPr>
        <w:sectPr w:rsidR="00C920AF" w:rsidRPr="00CA6B51" w:rsidSect="006D6345">
          <w:pgSz w:w="15840" w:h="12240" w:orient="landscape"/>
          <w:pgMar w:top="1418" w:right="1418" w:bottom="1474" w:left="1418" w:header="709" w:footer="709" w:gutter="0"/>
          <w:cols w:space="708"/>
          <w:noEndnote/>
        </w:sectPr>
      </w:pPr>
      <w:bookmarkStart w:id="0" w:name="_GoBack"/>
      <w:bookmarkEnd w:id="0"/>
    </w:p>
    <w:p w:rsidR="003F0D3B" w:rsidRPr="00C920AF" w:rsidRDefault="003F0D3B" w:rsidP="00C920AF"/>
    <w:sectPr w:rsidR="003F0D3B" w:rsidRPr="00C920AF" w:rsidSect="00AB1D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F0" w:rsidRDefault="003F1DF0" w:rsidP="00872AF0">
      <w:r>
        <w:separator/>
      </w:r>
    </w:p>
  </w:endnote>
  <w:endnote w:type="continuationSeparator" w:id="0">
    <w:p w:rsidR="003F1DF0" w:rsidRDefault="003F1DF0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AF" w:rsidRDefault="00C920AF" w:rsidP="003E0D6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920AF" w:rsidRDefault="00C920AF" w:rsidP="003E0D6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AF" w:rsidRDefault="00C920AF" w:rsidP="003E0D6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C920AF" w:rsidRDefault="00C920AF" w:rsidP="003E0D6D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3F1DF0" w:rsidP="00A104F6">
    <w:pPr>
      <w:pStyle w:val="AltBilgi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C920AF">
      <w:rPr>
        <w:rStyle w:val="SayfaNumaras"/>
        <w:noProof/>
        <w:sz w:val="20"/>
      </w:rPr>
      <w:t>4</w:t>
    </w:r>
    <w:r w:rsidRPr="00742F13">
      <w:rPr>
        <w:rStyle w:val="SayfaNumaras"/>
        <w:sz w:val="20"/>
      </w:rPr>
      <w:fldChar w:fldCharType="end"/>
    </w:r>
  </w:p>
  <w:p w:rsidR="00C65A05" w:rsidRDefault="003F1DF0" w:rsidP="00A104F6">
    <w:pPr>
      <w:pStyle w:val="AltBilgi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F0" w:rsidRDefault="003F1DF0" w:rsidP="00872AF0">
      <w:r>
        <w:separator/>
      </w:r>
    </w:p>
  </w:footnote>
  <w:footnote w:type="continuationSeparator" w:id="0">
    <w:p w:rsidR="003F1DF0" w:rsidRDefault="003F1DF0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AF" w:rsidRPr="006D5C20" w:rsidRDefault="00C920AF" w:rsidP="006D5C20">
    <w:pPr>
      <w:pStyle w:val="stBilgi"/>
      <w:rPr>
        <w:b/>
        <w:color w:val="000080"/>
        <w:sz w:val="22"/>
      </w:rPr>
    </w:pPr>
    <w:r>
      <w:rPr>
        <w:b/>
        <w:sz w:val="22"/>
      </w:rPr>
      <w:t>Pc Gümrük Külliyatı.....</w:t>
    </w:r>
    <w:r>
      <w:rPr>
        <w:b/>
        <w:color w:val="800000"/>
        <w:sz w:val="22"/>
      </w:rPr>
      <w:t>www.arslannet.com....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3F1DF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3F1DF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3F1DF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0E2CCE"/>
    <w:rsid w:val="001146D4"/>
    <w:rsid w:val="00186960"/>
    <w:rsid w:val="00236205"/>
    <w:rsid w:val="002B692C"/>
    <w:rsid w:val="003F0D3B"/>
    <w:rsid w:val="003F1DF0"/>
    <w:rsid w:val="006B4A19"/>
    <w:rsid w:val="00872AF0"/>
    <w:rsid w:val="00916AA5"/>
    <w:rsid w:val="00C920AF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0A49A8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cit.ozaydin\Desktop\WEB\Genelgeler\Genelge%202016-23%20Antrepolarda%20g&#246;revlendirilecek%20YGM%20olmad&#305;&#287;&#305;%20durumlarda%20G&#252;mr&#252;k%20Memuru%20G&#246;revlendirilmesi%20ile%20g&#246;revleri.doc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WEB\MEVZUAT\19.06.2017%2025865194%20YGMS%20Program&#305;ndan%20antrepoya%20e&#351;ya%20giri&#351;%20tutana&#287;&#305;%20d&#252;zenlenmeden%20(bo&#351;altma%20bilgisi)%20beyanname%20kapat&#305;labilir%20olmayaca&#287;&#305;.doc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ecit.ozaydin\Desktop\WEB\Di&#287;er%20Tebli&#287;ler\G&#252;mr&#252;k%20Genel%20Tebli&#287;i%20(Yetkilendirilmi&#351;%20G&#252;mr&#252;k%20M&#252;&#351;avirli&#287;i)%20Seri%20No%206.do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2018-01-12T12:25:00Z</dcterms:created>
  <dcterms:modified xsi:type="dcterms:W3CDTF">2018-01-12T12:25:00Z</dcterms:modified>
</cp:coreProperties>
</file>