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17" w:rsidRPr="00543F5E" w:rsidRDefault="00B53B17" w:rsidP="00B53B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43F5E">
        <w:rPr>
          <w:b/>
          <w:bCs/>
          <w:sz w:val="22"/>
          <w:szCs w:val="22"/>
        </w:rPr>
        <w:t>T.C.</w:t>
      </w:r>
    </w:p>
    <w:p w:rsidR="00B53B17" w:rsidRPr="00543F5E" w:rsidRDefault="00B53B17" w:rsidP="00B53B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43F5E">
        <w:rPr>
          <w:b/>
          <w:bCs/>
          <w:sz w:val="22"/>
          <w:szCs w:val="22"/>
        </w:rPr>
        <w:t>GÜMRÜK VE TİCARET BAKANLIĞI</w:t>
      </w:r>
    </w:p>
    <w:p w:rsidR="00B53B17" w:rsidRPr="00543F5E" w:rsidRDefault="00B53B17" w:rsidP="00B53B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43F5E">
        <w:rPr>
          <w:b/>
          <w:bCs/>
          <w:sz w:val="22"/>
          <w:szCs w:val="22"/>
        </w:rPr>
        <w:t>Gümrükler Genel Müdürlüğü</w:t>
      </w:r>
    </w:p>
    <w:p w:rsidR="00B53B17" w:rsidRPr="00543F5E" w:rsidRDefault="00B53B17" w:rsidP="00B53B1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543F5E">
        <w:rPr>
          <w:b/>
          <w:sz w:val="22"/>
          <w:szCs w:val="22"/>
        </w:rPr>
        <w:t>Sayı</w:t>
      </w:r>
      <w:r>
        <w:rPr>
          <w:b/>
          <w:sz w:val="22"/>
          <w:szCs w:val="22"/>
        </w:rPr>
        <w:tab/>
      </w:r>
      <w:r w:rsidRPr="00543F5E">
        <w:rPr>
          <w:b/>
          <w:sz w:val="22"/>
          <w:szCs w:val="22"/>
        </w:rPr>
        <w:t>:</w:t>
      </w:r>
      <w:r w:rsidRPr="00543F5E">
        <w:rPr>
          <w:sz w:val="22"/>
          <w:szCs w:val="22"/>
        </w:rPr>
        <w:t>82858591-010.07.01</w:t>
      </w:r>
    </w:p>
    <w:p w:rsidR="00B53B17" w:rsidRPr="00543F5E" w:rsidRDefault="00B53B17" w:rsidP="00B53B1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543F5E"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</w:r>
      <w:r w:rsidRPr="00543F5E">
        <w:rPr>
          <w:b/>
          <w:sz w:val="22"/>
          <w:szCs w:val="22"/>
        </w:rPr>
        <w:t>:</w:t>
      </w:r>
      <w:r w:rsidRPr="00543F5E">
        <w:rPr>
          <w:sz w:val="22"/>
          <w:szCs w:val="22"/>
        </w:rPr>
        <w:t>Gümrük Müşavir</w:t>
      </w:r>
    </w:p>
    <w:p w:rsidR="00B53B17" w:rsidRPr="00543F5E" w:rsidRDefault="00B53B17" w:rsidP="00B53B17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 w:rsidRPr="00543F5E">
        <w:rPr>
          <w:sz w:val="22"/>
          <w:szCs w:val="22"/>
        </w:rPr>
        <w:t>Yardımcıları/Stajyerleri</w:t>
      </w:r>
    </w:p>
    <w:p w:rsidR="00B53B17" w:rsidRDefault="00B53B17" w:rsidP="00B53B17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</w:p>
    <w:p w:rsidR="00B53B17" w:rsidRDefault="00B53B17" w:rsidP="00B53B17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12.06.2017 / 25723908</w:t>
      </w:r>
    </w:p>
    <w:p w:rsidR="00B53B17" w:rsidRPr="00543F5E" w:rsidRDefault="00B53B17" w:rsidP="00B53B17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543F5E">
        <w:rPr>
          <w:b/>
          <w:bCs/>
          <w:sz w:val="22"/>
          <w:szCs w:val="22"/>
        </w:rPr>
        <w:t>DAĞITIM YERLERİNE</w:t>
      </w:r>
    </w:p>
    <w:p w:rsidR="00B53B17" w:rsidRDefault="00B53B17" w:rsidP="00B53B17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B53B17" w:rsidRDefault="00B53B17" w:rsidP="00B53B17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B53B17" w:rsidRPr="00543F5E" w:rsidRDefault="00B53B17" w:rsidP="00B53B17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43F5E">
        <w:rPr>
          <w:sz w:val="22"/>
          <w:szCs w:val="22"/>
        </w:rPr>
        <w:t>Bakanlığımıza intikal eden olaylardan Gümrük Müşaviri/Gümrük Müşavir Yardımcısı İzin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belgelerinin düzenlenmesi aşamasında veya sınav komisyon değerlendirmeleri neticesinde bazı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adayların hem gümrük müşaviri yanında çalıştığı hem de başka bir işte çalıştığı yönünde çift sigorta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primlerinin mevcut olduğu anlaşılması üzerine, adayın hangi işte fiili olarak çalıştığının tam olarak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tespiti yapılamadığından fiilen staj yapmadıkları gerekçesiyle izin belge talepleri reddedilmiş ise de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bu durum bazı adaylar açısından mağduriyete, sızlanmalara ve şikayetlere yol açtığı anlaşılmıştır.</w:t>
      </w:r>
    </w:p>
    <w:p w:rsidR="00B53B17" w:rsidRPr="00543F5E" w:rsidRDefault="00B53B17" w:rsidP="00B53B17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43F5E">
        <w:rPr>
          <w:sz w:val="22"/>
          <w:szCs w:val="22"/>
        </w:rPr>
        <w:t>Konuyla alakalı olarak Bakanlık Makamından alınan 07/06/2017 tarihli ve 25522214 sayılı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onay ile "..yeni bir düzenleme yapılıncaya kadar gün içerisinde bir gümrük müşavirinin yanında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 xml:space="preserve">çalıştığını tevsik eden stajyer/gümrük müşavir yardımcılarının çalışma sürelerinin </w:t>
      </w:r>
      <w:hyperlink r:id="rId7" w:history="1">
        <w:r w:rsidRPr="006E6587">
          <w:rPr>
            <w:rStyle w:val="Kpr"/>
            <w:sz w:val="22"/>
            <w:szCs w:val="22"/>
          </w:rPr>
          <w:t>Kanunun</w:t>
        </w:r>
      </w:hyperlink>
      <w:r w:rsidRPr="00543F5E">
        <w:rPr>
          <w:sz w:val="22"/>
          <w:szCs w:val="22"/>
        </w:rPr>
        <w:t xml:space="preserve"> 227 ve</w:t>
      </w:r>
      <w:r>
        <w:rPr>
          <w:sz w:val="22"/>
          <w:szCs w:val="22"/>
        </w:rPr>
        <w:t xml:space="preserve"> </w:t>
      </w:r>
      <w:hyperlink r:id="rId8" w:anchor="Madde228" w:history="1">
        <w:r w:rsidRPr="006E6587">
          <w:rPr>
            <w:rStyle w:val="Kpr"/>
            <w:sz w:val="22"/>
            <w:szCs w:val="22"/>
          </w:rPr>
          <w:t>228 inci</w:t>
        </w:r>
      </w:hyperlink>
      <w:r w:rsidRPr="00543F5E">
        <w:rPr>
          <w:sz w:val="22"/>
          <w:szCs w:val="22"/>
        </w:rPr>
        <w:t xml:space="preserve"> maddelerinde yer alan sürelerden sayılması" uygun bulunmuştur.</w:t>
      </w:r>
    </w:p>
    <w:p w:rsidR="00B53B17" w:rsidRPr="00543F5E" w:rsidRDefault="00B53B17" w:rsidP="00B53B17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43F5E">
        <w:rPr>
          <w:sz w:val="22"/>
          <w:szCs w:val="22"/>
        </w:rPr>
        <w:t>Bu itibarla kurulan sınav komisyonlarının çift sigortalı olan adaylardan gerek görmeleri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halinde ek bilgi ve belge talep ederek durumu değerlendirmeleri ve sonucu düzenlenecek tutanakta</w:t>
      </w:r>
      <w:r>
        <w:rPr>
          <w:sz w:val="22"/>
          <w:szCs w:val="22"/>
        </w:rPr>
        <w:t xml:space="preserve"> </w:t>
      </w:r>
      <w:r w:rsidRPr="00543F5E">
        <w:rPr>
          <w:sz w:val="22"/>
          <w:szCs w:val="22"/>
        </w:rPr>
        <w:t>belirtmeleri gerekmektedir.</w:t>
      </w:r>
    </w:p>
    <w:p w:rsidR="00B53B17" w:rsidRPr="00543F5E" w:rsidRDefault="00B53B17" w:rsidP="00B53B17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43F5E">
        <w:rPr>
          <w:sz w:val="22"/>
          <w:szCs w:val="22"/>
        </w:rPr>
        <w:t>Bilgi ve gereğini rica ederim.</w:t>
      </w:r>
    </w:p>
    <w:p w:rsidR="00B53B17" w:rsidRDefault="00B53B17" w:rsidP="00B53B17">
      <w:pPr>
        <w:autoSpaceDE w:val="0"/>
        <w:autoSpaceDN w:val="0"/>
        <w:adjustRightInd w:val="0"/>
        <w:rPr>
          <w:sz w:val="22"/>
          <w:szCs w:val="22"/>
        </w:rPr>
      </w:pPr>
    </w:p>
    <w:p w:rsidR="00B53B17" w:rsidRPr="00543F5E" w:rsidRDefault="00B53B17" w:rsidP="00B53B1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43F5E">
        <w:rPr>
          <w:sz w:val="22"/>
          <w:szCs w:val="22"/>
        </w:rPr>
        <w:t>Mustafa GÜMÜŞ</w:t>
      </w:r>
    </w:p>
    <w:p w:rsidR="00B53B17" w:rsidRPr="00543F5E" w:rsidRDefault="00B53B17" w:rsidP="00B53B1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43F5E">
        <w:rPr>
          <w:sz w:val="22"/>
          <w:szCs w:val="22"/>
        </w:rPr>
        <w:t>Bakan a.</w:t>
      </w:r>
    </w:p>
    <w:p w:rsidR="00B53B17" w:rsidRPr="00543F5E" w:rsidRDefault="00B53B17" w:rsidP="00B53B1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43F5E">
        <w:rPr>
          <w:sz w:val="22"/>
          <w:szCs w:val="22"/>
        </w:rPr>
        <w:t>Genel Müdür V.</w:t>
      </w:r>
    </w:p>
    <w:p w:rsidR="00B53B17" w:rsidRDefault="00B53B17" w:rsidP="00B53B17">
      <w:pPr>
        <w:autoSpaceDE w:val="0"/>
        <w:autoSpaceDN w:val="0"/>
        <w:adjustRightInd w:val="0"/>
        <w:rPr>
          <w:sz w:val="22"/>
          <w:szCs w:val="22"/>
        </w:rPr>
      </w:pPr>
    </w:p>
    <w:p w:rsidR="00B53B17" w:rsidRDefault="00B53B17" w:rsidP="00B53B17">
      <w:pPr>
        <w:autoSpaceDE w:val="0"/>
        <w:autoSpaceDN w:val="0"/>
        <w:adjustRightInd w:val="0"/>
        <w:rPr>
          <w:sz w:val="22"/>
          <w:szCs w:val="22"/>
        </w:rPr>
      </w:pPr>
    </w:p>
    <w:p w:rsidR="00B53B17" w:rsidRPr="00543F5E" w:rsidRDefault="00B53B17" w:rsidP="00B53B17">
      <w:pPr>
        <w:autoSpaceDE w:val="0"/>
        <w:autoSpaceDN w:val="0"/>
        <w:adjustRightInd w:val="0"/>
        <w:rPr>
          <w:b/>
          <w:sz w:val="22"/>
          <w:szCs w:val="22"/>
        </w:rPr>
      </w:pPr>
      <w:r w:rsidRPr="00543F5E">
        <w:rPr>
          <w:b/>
          <w:sz w:val="22"/>
          <w:szCs w:val="22"/>
        </w:rPr>
        <w:t>Dağıtım:</w:t>
      </w:r>
    </w:p>
    <w:p w:rsidR="00B53B17" w:rsidRPr="00543F5E" w:rsidRDefault="00B53B17" w:rsidP="00B53B17">
      <w:pPr>
        <w:autoSpaceDE w:val="0"/>
        <w:autoSpaceDN w:val="0"/>
        <w:adjustRightInd w:val="0"/>
        <w:rPr>
          <w:sz w:val="22"/>
          <w:szCs w:val="22"/>
        </w:rPr>
      </w:pPr>
      <w:r w:rsidRPr="00543F5E">
        <w:rPr>
          <w:sz w:val="22"/>
          <w:szCs w:val="22"/>
        </w:rPr>
        <w:t>Gereği: Tüm Gümrük ve Ticaret Bölge Müdürlükleri</w:t>
      </w:r>
    </w:p>
    <w:p w:rsidR="00B53B17" w:rsidRPr="00543F5E" w:rsidRDefault="00B53B17" w:rsidP="00B53B17">
      <w:pPr>
        <w:autoSpaceDE w:val="0"/>
        <w:autoSpaceDN w:val="0"/>
        <w:adjustRightInd w:val="0"/>
        <w:rPr>
          <w:sz w:val="22"/>
          <w:szCs w:val="22"/>
        </w:rPr>
      </w:pPr>
      <w:r w:rsidRPr="00543F5E">
        <w:rPr>
          <w:sz w:val="22"/>
          <w:szCs w:val="22"/>
        </w:rPr>
        <w:t>Bilgi: Gümrük Müşavir Dernekleri</w:t>
      </w:r>
    </w:p>
    <w:p w:rsidR="003F0D3B" w:rsidRPr="00B53B17" w:rsidRDefault="003F0D3B" w:rsidP="00B53B17">
      <w:bookmarkStart w:id="0" w:name="_GoBack"/>
      <w:bookmarkEnd w:id="0"/>
    </w:p>
    <w:sectPr w:rsidR="003F0D3B" w:rsidRPr="00B53B17" w:rsidSect="00AB1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75" w:rsidRDefault="004D6D75" w:rsidP="00872AF0">
      <w:r>
        <w:separator/>
      </w:r>
    </w:p>
  </w:endnote>
  <w:endnote w:type="continuationSeparator" w:id="0">
    <w:p w:rsidR="004D6D75" w:rsidRDefault="004D6D75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4D6D75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B53B17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4D6D75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75" w:rsidRDefault="004D6D75" w:rsidP="00872AF0">
      <w:r>
        <w:separator/>
      </w:r>
    </w:p>
  </w:footnote>
  <w:footnote w:type="continuationSeparator" w:id="0">
    <w:p w:rsidR="004D6D75" w:rsidRDefault="004D6D75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4D6D7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4D6D7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4D6D7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53B89"/>
    <w:rsid w:val="001146D4"/>
    <w:rsid w:val="00184B1E"/>
    <w:rsid w:val="00204119"/>
    <w:rsid w:val="00235DEA"/>
    <w:rsid w:val="00236205"/>
    <w:rsid w:val="002B692C"/>
    <w:rsid w:val="00311613"/>
    <w:rsid w:val="00365330"/>
    <w:rsid w:val="003C622C"/>
    <w:rsid w:val="003F0D3B"/>
    <w:rsid w:val="004472AA"/>
    <w:rsid w:val="00473628"/>
    <w:rsid w:val="004D6D75"/>
    <w:rsid w:val="0054609F"/>
    <w:rsid w:val="005979BB"/>
    <w:rsid w:val="006B4A19"/>
    <w:rsid w:val="00872AF0"/>
    <w:rsid w:val="00916AA5"/>
    <w:rsid w:val="009B2038"/>
    <w:rsid w:val="00AB12A9"/>
    <w:rsid w:val="00B5095D"/>
    <w:rsid w:val="00B53B17"/>
    <w:rsid w:val="00CC4547"/>
    <w:rsid w:val="00D125EE"/>
    <w:rsid w:val="00E01DEF"/>
    <w:rsid w:val="00E22E08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G&#252;mr&#252;k%20Kanunu%20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G&#252;mr&#252;k%20Kanunu%20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2018-01-12T12:23:00Z</dcterms:created>
  <dcterms:modified xsi:type="dcterms:W3CDTF">2018-01-12T12:23:00Z</dcterms:modified>
</cp:coreProperties>
</file>