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09F" w:rsidRPr="00B759EA" w:rsidRDefault="0054609F" w:rsidP="0054609F">
      <w:pPr>
        <w:jc w:val="center"/>
        <w:rPr>
          <w:b/>
          <w:sz w:val="22"/>
          <w:szCs w:val="22"/>
        </w:rPr>
      </w:pPr>
      <w:r w:rsidRPr="00B759EA">
        <w:rPr>
          <w:b/>
          <w:sz w:val="22"/>
          <w:szCs w:val="22"/>
        </w:rPr>
        <w:t>T.C.</w:t>
      </w:r>
    </w:p>
    <w:p w:rsidR="0054609F" w:rsidRPr="00B759EA" w:rsidRDefault="0054609F" w:rsidP="0054609F">
      <w:pPr>
        <w:jc w:val="center"/>
        <w:rPr>
          <w:b/>
          <w:sz w:val="22"/>
          <w:szCs w:val="22"/>
        </w:rPr>
      </w:pPr>
      <w:r w:rsidRPr="00B759EA">
        <w:rPr>
          <w:b/>
          <w:sz w:val="22"/>
          <w:szCs w:val="22"/>
        </w:rPr>
        <w:t>GÜMRÜK VE TİCARET BAKANLIĞI</w:t>
      </w:r>
    </w:p>
    <w:p w:rsidR="0054609F" w:rsidRPr="00B759EA" w:rsidRDefault="0054609F" w:rsidP="0054609F">
      <w:pPr>
        <w:jc w:val="center"/>
        <w:rPr>
          <w:b/>
          <w:sz w:val="22"/>
          <w:szCs w:val="22"/>
        </w:rPr>
      </w:pPr>
      <w:r w:rsidRPr="00B759EA">
        <w:rPr>
          <w:b/>
          <w:sz w:val="22"/>
          <w:szCs w:val="22"/>
        </w:rPr>
        <w:t>Gümrükler Genel Müdürlüğü</w:t>
      </w:r>
    </w:p>
    <w:p w:rsidR="0054609F" w:rsidRPr="00B759EA" w:rsidRDefault="0054609F" w:rsidP="0054609F">
      <w:pPr>
        <w:spacing w:before="120"/>
        <w:rPr>
          <w:sz w:val="22"/>
          <w:szCs w:val="22"/>
        </w:rPr>
      </w:pPr>
      <w:r w:rsidRPr="00B759EA">
        <w:rPr>
          <w:b/>
          <w:sz w:val="22"/>
          <w:szCs w:val="22"/>
        </w:rPr>
        <w:t>Sayı</w:t>
      </w:r>
      <w:r w:rsidRPr="00B759EA">
        <w:rPr>
          <w:b/>
          <w:sz w:val="22"/>
          <w:szCs w:val="22"/>
        </w:rPr>
        <w:tab/>
        <w:t>:</w:t>
      </w:r>
      <w:r w:rsidRPr="00B759EA">
        <w:rPr>
          <w:sz w:val="22"/>
          <w:szCs w:val="22"/>
        </w:rPr>
        <w:t>82858591-161.99</w:t>
      </w:r>
    </w:p>
    <w:p w:rsidR="0054609F" w:rsidRDefault="0054609F" w:rsidP="0054609F">
      <w:pPr>
        <w:spacing w:before="120"/>
        <w:rPr>
          <w:sz w:val="22"/>
          <w:szCs w:val="22"/>
        </w:rPr>
      </w:pPr>
      <w:r w:rsidRPr="00B759EA">
        <w:rPr>
          <w:b/>
          <w:sz w:val="22"/>
          <w:szCs w:val="22"/>
        </w:rPr>
        <w:t>Konu</w:t>
      </w:r>
      <w:r w:rsidRPr="00B759EA">
        <w:rPr>
          <w:b/>
          <w:sz w:val="22"/>
          <w:szCs w:val="22"/>
        </w:rPr>
        <w:tab/>
        <w:t>:</w:t>
      </w:r>
      <w:r>
        <w:rPr>
          <w:sz w:val="22"/>
          <w:szCs w:val="22"/>
        </w:rPr>
        <w:t>NK1</w:t>
      </w:r>
      <w:r w:rsidRPr="00B759EA">
        <w:rPr>
          <w:sz w:val="22"/>
          <w:szCs w:val="22"/>
        </w:rPr>
        <w:t xml:space="preserve"> Tespit Koduna ilişkin </w:t>
      </w:r>
    </w:p>
    <w:p w:rsidR="0054609F" w:rsidRPr="00B759EA" w:rsidRDefault="0054609F" w:rsidP="0054609F">
      <w:pPr>
        <w:spacing w:before="120"/>
        <w:ind w:firstLine="708"/>
        <w:rPr>
          <w:sz w:val="22"/>
          <w:szCs w:val="22"/>
        </w:rPr>
      </w:pPr>
      <w:r>
        <w:rPr>
          <w:sz w:val="22"/>
          <w:szCs w:val="22"/>
        </w:rPr>
        <w:t xml:space="preserve"> </w:t>
      </w:r>
      <w:r w:rsidRPr="00B759EA">
        <w:rPr>
          <w:sz w:val="22"/>
          <w:szCs w:val="22"/>
        </w:rPr>
        <w:t>YGM Asgari Ücret Tarifesi</w:t>
      </w:r>
    </w:p>
    <w:p w:rsidR="0054609F" w:rsidRPr="00B759EA" w:rsidRDefault="0054609F" w:rsidP="0054609F">
      <w:pPr>
        <w:spacing w:before="120"/>
        <w:jc w:val="center"/>
        <w:rPr>
          <w:b/>
          <w:sz w:val="22"/>
          <w:szCs w:val="22"/>
        </w:rPr>
      </w:pPr>
    </w:p>
    <w:p w:rsidR="0054609F" w:rsidRPr="00B759EA" w:rsidRDefault="0054609F" w:rsidP="0054609F">
      <w:pPr>
        <w:spacing w:before="120"/>
        <w:jc w:val="center"/>
        <w:rPr>
          <w:b/>
          <w:sz w:val="22"/>
          <w:szCs w:val="22"/>
        </w:rPr>
      </w:pPr>
      <w:r w:rsidRPr="00B759EA">
        <w:rPr>
          <w:b/>
          <w:sz w:val="22"/>
          <w:szCs w:val="22"/>
        </w:rPr>
        <w:t>24.08.2017</w:t>
      </w:r>
      <w:r>
        <w:rPr>
          <w:b/>
          <w:sz w:val="22"/>
          <w:szCs w:val="22"/>
        </w:rPr>
        <w:t xml:space="preserve"> / 27566207</w:t>
      </w:r>
    </w:p>
    <w:p w:rsidR="0054609F" w:rsidRDefault="0054609F" w:rsidP="0054609F">
      <w:pPr>
        <w:spacing w:before="120"/>
        <w:jc w:val="center"/>
        <w:rPr>
          <w:b/>
          <w:sz w:val="22"/>
          <w:szCs w:val="22"/>
        </w:rPr>
      </w:pPr>
      <w:r w:rsidRPr="00B759EA">
        <w:rPr>
          <w:b/>
          <w:sz w:val="22"/>
          <w:szCs w:val="22"/>
        </w:rPr>
        <w:t>DAĞITIM YERLERİNE</w:t>
      </w:r>
    </w:p>
    <w:p w:rsidR="0054609F" w:rsidRDefault="0054609F" w:rsidP="0054609F">
      <w:pPr>
        <w:spacing w:before="120"/>
        <w:jc w:val="center"/>
        <w:rPr>
          <w:b/>
          <w:sz w:val="22"/>
          <w:szCs w:val="22"/>
        </w:rPr>
      </w:pPr>
    </w:p>
    <w:p w:rsidR="0054609F" w:rsidRDefault="0054609F" w:rsidP="0054609F">
      <w:pPr>
        <w:spacing w:before="120"/>
        <w:jc w:val="center"/>
        <w:rPr>
          <w:b/>
          <w:sz w:val="22"/>
          <w:szCs w:val="22"/>
        </w:rPr>
      </w:pPr>
    </w:p>
    <w:p w:rsidR="0054609F" w:rsidRPr="00B759EA" w:rsidRDefault="0054609F" w:rsidP="0054609F">
      <w:pPr>
        <w:spacing w:before="120"/>
        <w:rPr>
          <w:sz w:val="22"/>
          <w:szCs w:val="22"/>
        </w:rPr>
      </w:pPr>
      <w:r w:rsidRPr="00B759EA">
        <w:rPr>
          <w:b/>
          <w:sz w:val="22"/>
          <w:szCs w:val="22"/>
        </w:rPr>
        <w:t>İlgi:</w:t>
      </w:r>
      <w:r w:rsidRPr="00B759EA">
        <w:rPr>
          <w:b/>
          <w:sz w:val="22"/>
          <w:szCs w:val="22"/>
        </w:rPr>
        <w:tab/>
      </w:r>
      <w:r w:rsidRPr="00B759EA">
        <w:rPr>
          <w:sz w:val="22"/>
          <w:szCs w:val="22"/>
        </w:rPr>
        <w:t>a) 24.07.2017 tarihli yazınız.</w:t>
      </w:r>
    </w:p>
    <w:p w:rsidR="0054609F" w:rsidRDefault="0054609F" w:rsidP="0054609F">
      <w:pPr>
        <w:spacing w:before="120"/>
        <w:ind w:firstLine="708"/>
        <w:rPr>
          <w:sz w:val="22"/>
          <w:szCs w:val="22"/>
        </w:rPr>
      </w:pPr>
      <w:r w:rsidRPr="00B759EA">
        <w:rPr>
          <w:sz w:val="22"/>
          <w:szCs w:val="22"/>
        </w:rPr>
        <w:t>b) 25.07.2017 tarihli ve 26769170 sayılı yazımız.</w:t>
      </w:r>
    </w:p>
    <w:p w:rsidR="0054609F" w:rsidRDefault="0054609F" w:rsidP="0054609F">
      <w:pPr>
        <w:spacing w:before="120"/>
        <w:ind w:firstLine="708"/>
        <w:rPr>
          <w:sz w:val="22"/>
          <w:szCs w:val="22"/>
        </w:rPr>
      </w:pPr>
    </w:p>
    <w:p w:rsidR="0054609F" w:rsidRDefault="0054609F" w:rsidP="0054609F">
      <w:pPr>
        <w:spacing w:before="120"/>
        <w:ind w:firstLine="708"/>
        <w:jc w:val="both"/>
        <w:rPr>
          <w:sz w:val="22"/>
          <w:szCs w:val="22"/>
        </w:rPr>
      </w:pPr>
      <w:r w:rsidRPr="00B759EA">
        <w:rPr>
          <w:sz w:val="22"/>
          <w:szCs w:val="22"/>
        </w:rPr>
        <w:t>Bakanlığımıza intikal eden dilekçelerden YGM'ler tarafından Nihai K</w:t>
      </w:r>
      <w:r>
        <w:rPr>
          <w:sz w:val="22"/>
          <w:szCs w:val="22"/>
        </w:rPr>
        <w:t>ullanım Tespit Raporlarının (NK1</w:t>
      </w:r>
      <w:r w:rsidRPr="00B759EA">
        <w:rPr>
          <w:sz w:val="22"/>
          <w:szCs w:val="22"/>
        </w:rPr>
        <w:t>) ücretlendirilmesinde farklı uygulamalar yapıldığı anlaşılmaktadır.</w:t>
      </w:r>
    </w:p>
    <w:p w:rsidR="0054609F" w:rsidRDefault="0054609F" w:rsidP="0054609F">
      <w:pPr>
        <w:spacing w:before="120"/>
        <w:ind w:firstLine="708"/>
        <w:jc w:val="both"/>
        <w:rPr>
          <w:sz w:val="22"/>
          <w:szCs w:val="22"/>
        </w:rPr>
      </w:pPr>
      <w:r w:rsidRPr="00B759EA">
        <w:rPr>
          <w:sz w:val="22"/>
          <w:szCs w:val="22"/>
        </w:rPr>
        <w:t xml:space="preserve">Bilindiği üzere, Gümrük </w:t>
      </w:r>
      <w:hyperlink r:id="rId7" w:history="1">
        <w:r w:rsidRPr="008A0105">
          <w:rPr>
            <w:rStyle w:val="Kpr"/>
            <w:sz w:val="22"/>
            <w:szCs w:val="22"/>
          </w:rPr>
          <w:t>Yönetmeliğ</w:t>
        </w:r>
      </w:hyperlink>
      <w:r w:rsidRPr="00B759EA">
        <w:rPr>
          <w:sz w:val="22"/>
          <w:szCs w:val="22"/>
        </w:rPr>
        <w:t xml:space="preserve">inin </w:t>
      </w:r>
      <w:hyperlink r:id="rId8" w:anchor="m207" w:history="1">
        <w:r w:rsidRPr="008A0105">
          <w:rPr>
            <w:rStyle w:val="Kpr"/>
            <w:sz w:val="22"/>
            <w:szCs w:val="22"/>
          </w:rPr>
          <w:t>207</w:t>
        </w:r>
        <w:r w:rsidRPr="008A0105">
          <w:rPr>
            <w:rStyle w:val="Kpr"/>
            <w:sz w:val="22"/>
            <w:szCs w:val="22"/>
          </w:rPr>
          <w:t>/</w:t>
        </w:r>
        <w:r w:rsidRPr="008A0105">
          <w:rPr>
            <w:rStyle w:val="Kpr"/>
            <w:sz w:val="22"/>
            <w:szCs w:val="22"/>
          </w:rPr>
          <w:t>4</w:t>
        </w:r>
      </w:hyperlink>
      <w:r w:rsidRPr="00B759EA">
        <w:rPr>
          <w:sz w:val="22"/>
          <w:szCs w:val="22"/>
        </w:rPr>
        <w:t xml:space="preserve"> üncü maddesi ve 6 Seri nolu Yetkilendirilmiş Gümrük Müşavirliği </w:t>
      </w:r>
      <w:hyperlink r:id="rId9" w:history="1">
        <w:r w:rsidRPr="008A0105">
          <w:rPr>
            <w:rStyle w:val="Kpr"/>
            <w:sz w:val="22"/>
            <w:szCs w:val="22"/>
          </w:rPr>
          <w:t>T</w:t>
        </w:r>
        <w:r w:rsidRPr="008A0105">
          <w:rPr>
            <w:rStyle w:val="Kpr"/>
            <w:sz w:val="22"/>
            <w:szCs w:val="22"/>
          </w:rPr>
          <w:t>e</w:t>
        </w:r>
        <w:r w:rsidRPr="008A0105">
          <w:rPr>
            <w:rStyle w:val="Kpr"/>
            <w:sz w:val="22"/>
            <w:szCs w:val="22"/>
          </w:rPr>
          <w:t>b</w:t>
        </w:r>
        <w:r w:rsidRPr="008A0105">
          <w:rPr>
            <w:rStyle w:val="Kpr"/>
            <w:sz w:val="22"/>
            <w:szCs w:val="22"/>
          </w:rPr>
          <w:t>liği</w:t>
        </w:r>
      </w:hyperlink>
      <w:r w:rsidRPr="00B759EA">
        <w:rPr>
          <w:sz w:val="22"/>
          <w:szCs w:val="22"/>
        </w:rPr>
        <w:t>nin 11 inci maddesinde, nihai kullanıma ilişkin yetkilendirilmiş gümrük müşavirince düzenlenecek tespit raporuyla her bir nihai kullanım iznine konu eşyanın öngörülen süre dahilinde belirtilen nihai kullanıma tahsis edilip edilmediği ve öngörülen amaçlar için kullanılıp kullanılmadığının tespitinin yapılması gerektiği belirtilmiştir.</w:t>
      </w:r>
    </w:p>
    <w:p w:rsidR="0054609F" w:rsidRDefault="0054609F" w:rsidP="0054609F">
      <w:pPr>
        <w:spacing w:before="120"/>
        <w:ind w:firstLine="708"/>
        <w:jc w:val="both"/>
        <w:rPr>
          <w:sz w:val="22"/>
          <w:szCs w:val="22"/>
        </w:rPr>
      </w:pPr>
      <w:r w:rsidRPr="00B759EA">
        <w:rPr>
          <w:sz w:val="22"/>
          <w:szCs w:val="22"/>
        </w:rPr>
        <w:t>Ancak Gümrük Mevzuatının nihai kullanıma ilişkin hükümleri uyarınca her bir nihai kullanım izni için bir YGM raporu düzenlenmesi gerekmekte olup aynı nihai kullanım izni için birden fazla rapor düzenlenmesi mümkün bulunmamaktadır.</w:t>
      </w:r>
    </w:p>
    <w:p w:rsidR="0054609F" w:rsidRDefault="0054609F" w:rsidP="0054609F">
      <w:pPr>
        <w:spacing w:before="120"/>
        <w:ind w:firstLine="708"/>
        <w:jc w:val="both"/>
        <w:rPr>
          <w:sz w:val="22"/>
          <w:szCs w:val="22"/>
        </w:rPr>
      </w:pPr>
      <w:r w:rsidRPr="00B759EA">
        <w:rPr>
          <w:sz w:val="22"/>
          <w:szCs w:val="22"/>
        </w:rPr>
        <w:t>Bu itibarla anılan Yönetmelik ve Tebliğin ilgili maddeleri çerçevesinde nihai kullanım izni için düzenlenecek ay itibariyle ilk YGM raporuna 2100.-TL, aynı ay içerisinde düzenlenen sonraki her bir nihai kullanım izni için düzenlenecek raporlar için ise 700.-TL ücret alınması gerekmektedir. Bu konuda İlgi (b) de gönderilen yazımızın dikkate alınmaması gerekmektedir.</w:t>
      </w:r>
    </w:p>
    <w:p w:rsidR="0054609F" w:rsidRPr="00B759EA" w:rsidRDefault="0054609F" w:rsidP="0054609F">
      <w:pPr>
        <w:spacing w:before="120"/>
        <w:ind w:firstLine="708"/>
        <w:jc w:val="both"/>
        <w:rPr>
          <w:sz w:val="22"/>
          <w:szCs w:val="22"/>
        </w:rPr>
      </w:pPr>
      <w:r w:rsidRPr="00B759EA">
        <w:rPr>
          <w:sz w:val="22"/>
          <w:szCs w:val="22"/>
        </w:rPr>
        <w:t>Bilgi ve gereğini rica ederim.</w:t>
      </w:r>
    </w:p>
    <w:p w:rsidR="0054609F" w:rsidRDefault="0054609F" w:rsidP="0054609F">
      <w:pPr>
        <w:rPr>
          <w:sz w:val="22"/>
          <w:szCs w:val="22"/>
        </w:rPr>
      </w:pPr>
    </w:p>
    <w:p w:rsidR="0054609F" w:rsidRDefault="0054609F" w:rsidP="0054609F">
      <w:pPr>
        <w:rPr>
          <w:sz w:val="22"/>
          <w:szCs w:val="22"/>
        </w:rPr>
      </w:pPr>
    </w:p>
    <w:p w:rsidR="0054609F" w:rsidRDefault="0054609F" w:rsidP="0054609F">
      <w:pPr>
        <w:rPr>
          <w:sz w:val="22"/>
          <w:szCs w:val="22"/>
        </w:rPr>
      </w:pPr>
    </w:p>
    <w:p w:rsidR="0054609F" w:rsidRPr="00B759EA" w:rsidRDefault="0054609F" w:rsidP="0054609F">
      <w:pPr>
        <w:jc w:val="right"/>
        <w:rPr>
          <w:sz w:val="22"/>
          <w:szCs w:val="22"/>
        </w:rPr>
      </w:pPr>
      <w:r>
        <w:rPr>
          <w:sz w:val="22"/>
          <w:szCs w:val="22"/>
        </w:rPr>
        <w:t>Ayhan IŞIK</w:t>
      </w:r>
    </w:p>
    <w:p w:rsidR="0054609F" w:rsidRDefault="0054609F" w:rsidP="0054609F">
      <w:pPr>
        <w:jc w:val="right"/>
        <w:rPr>
          <w:sz w:val="22"/>
          <w:szCs w:val="22"/>
        </w:rPr>
      </w:pPr>
      <w:r w:rsidRPr="00B759EA">
        <w:rPr>
          <w:sz w:val="22"/>
          <w:szCs w:val="22"/>
        </w:rPr>
        <w:t xml:space="preserve">Bakan a. </w:t>
      </w:r>
    </w:p>
    <w:p w:rsidR="0054609F" w:rsidRPr="00B759EA" w:rsidRDefault="0054609F" w:rsidP="0054609F">
      <w:pPr>
        <w:jc w:val="right"/>
        <w:rPr>
          <w:sz w:val="22"/>
          <w:szCs w:val="22"/>
        </w:rPr>
      </w:pPr>
      <w:r w:rsidRPr="00B759EA">
        <w:rPr>
          <w:sz w:val="22"/>
          <w:szCs w:val="22"/>
        </w:rPr>
        <w:t>Daire Başkanı</w:t>
      </w:r>
    </w:p>
    <w:p w:rsidR="003F0D3B" w:rsidRPr="0054609F" w:rsidRDefault="003F0D3B" w:rsidP="0054609F">
      <w:bookmarkStart w:id="0" w:name="_GoBack"/>
      <w:bookmarkEnd w:id="0"/>
    </w:p>
    <w:sectPr w:rsidR="003F0D3B" w:rsidRPr="0054609F" w:rsidSect="00AB1D64">
      <w:headerReference w:type="even" r:id="rId10"/>
      <w:headerReference w:type="default" r:id="rId11"/>
      <w:footerReference w:type="even" r:id="rId12"/>
      <w:footerReference w:type="default" r:id="rId13"/>
      <w:headerReference w:type="first" r:id="rId14"/>
      <w:footerReference w:type="first" r:id="rId15"/>
      <w:pgSz w:w="11906" w:h="16838"/>
      <w:pgMar w:top="1417" w:right="92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2AF" w:rsidRDefault="00B712AF" w:rsidP="00872AF0">
      <w:r>
        <w:separator/>
      </w:r>
    </w:p>
  </w:endnote>
  <w:endnote w:type="continuationSeparator" w:id="0">
    <w:p w:rsidR="00B712AF" w:rsidRDefault="00B712AF" w:rsidP="0087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Default="00F50CF7" w:rsidP="00A104F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65A05" w:rsidRDefault="00B712AF" w:rsidP="00A104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A05" w:rsidRPr="00742F13" w:rsidRDefault="00F50CF7" w:rsidP="00A104F6">
    <w:pPr>
      <w:pStyle w:val="AltBilgi"/>
      <w:framePr w:wrap="around" w:vAnchor="text" w:hAnchor="margin" w:xAlign="right" w:y="1"/>
      <w:rPr>
        <w:rStyle w:val="SayfaNumaras"/>
        <w:sz w:val="20"/>
      </w:rPr>
    </w:pPr>
    <w:r w:rsidRPr="00742F13">
      <w:rPr>
        <w:rStyle w:val="SayfaNumaras"/>
        <w:sz w:val="20"/>
      </w:rPr>
      <w:fldChar w:fldCharType="begin"/>
    </w:r>
    <w:r w:rsidRPr="00742F13">
      <w:rPr>
        <w:rStyle w:val="SayfaNumaras"/>
        <w:sz w:val="20"/>
      </w:rPr>
      <w:instrText xml:space="preserve">PAGE  </w:instrText>
    </w:r>
    <w:r w:rsidRPr="00742F13">
      <w:rPr>
        <w:rStyle w:val="SayfaNumaras"/>
        <w:sz w:val="20"/>
      </w:rPr>
      <w:fldChar w:fldCharType="separate"/>
    </w:r>
    <w:r w:rsidR="0054609F">
      <w:rPr>
        <w:rStyle w:val="SayfaNumaras"/>
        <w:noProof/>
        <w:sz w:val="20"/>
      </w:rPr>
      <w:t>1</w:t>
    </w:r>
    <w:r w:rsidRPr="00742F13">
      <w:rPr>
        <w:rStyle w:val="SayfaNumaras"/>
        <w:sz w:val="20"/>
      </w:rPr>
      <w:fldChar w:fldCharType="end"/>
    </w:r>
  </w:p>
  <w:p w:rsidR="00C65A05" w:rsidRDefault="00B712AF" w:rsidP="00A104F6">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23620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2AF" w:rsidRDefault="00B712AF" w:rsidP="00872AF0">
      <w:r>
        <w:separator/>
      </w:r>
    </w:p>
  </w:footnote>
  <w:footnote w:type="continuationSeparator" w:id="0">
    <w:p w:rsidR="00B712AF" w:rsidRDefault="00B712AF" w:rsidP="00872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712A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8" o:spid="_x0000_s2050" type="#_x0000_t75" style="position:absolute;margin-left:0;margin-top:0;width:478.05pt;height:268.5pt;z-index:-251657216;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712A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9" o:spid="_x0000_s2051" type="#_x0000_t75" style="position:absolute;margin-left:0;margin-top:0;width:478.05pt;height:268.5pt;z-index:-251656192;mso-position-horizontal:center;mso-position-horizontal-relative:margin;mso-position-vertical:center;mso-position-vertical-relative:margin" o:allowincell="f">
          <v:imagedata r:id="rId1" o:title="2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05" w:rsidRDefault="00B712A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2967" o:spid="_x0000_s2049" type="#_x0000_t75" style="position:absolute;margin-left:0;margin-top:0;width:478.05pt;height:268.5pt;z-index:-251658240;mso-position-horizontal:center;mso-position-horizontal-relative:margin;mso-position-vertical:center;mso-position-vertical-relative:margin" o:allowincell="f">
          <v:imagedata r:id="rId1" o:title="2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84081C"/>
    <w:lvl w:ilvl="0">
      <w:numFmt w:val="bullet"/>
      <w:lvlText w:val="*"/>
      <w:lvlJc w:val="left"/>
    </w:lvl>
  </w:abstractNum>
  <w:abstractNum w:abstractNumId="1" w15:restartNumberingAfterBreak="0">
    <w:nsid w:val="06A64215"/>
    <w:multiLevelType w:val="hybridMultilevel"/>
    <w:tmpl w:val="9D5C44F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4AE60E65"/>
    <w:multiLevelType w:val="hybridMultilevel"/>
    <w:tmpl w:val="273C9578"/>
    <w:lvl w:ilvl="0" w:tplc="AC28F45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C31F34"/>
    <w:multiLevelType w:val="hybridMultilevel"/>
    <w:tmpl w:val="CEB47A3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F0"/>
    <w:rsid w:val="001146D4"/>
    <w:rsid w:val="00204119"/>
    <w:rsid w:val="00236205"/>
    <w:rsid w:val="002B692C"/>
    <w:rsid w:val="003F0D3B"/>
    <w:rsid w:val="0054609F"/>
    <w:rsid w:val="006B4A19"/>
    <w:rsid w:val="00872AF0"/>
    <w:rsid w:val="00916AA5"/>
    <w:rsid w:val="00AB12A9"/>
    <w:rsid w:val="00B712AF"/>
    <w:rsid w:val="00F50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230DEC-4BC9-41AF-A4C5-17D6A5FB7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AF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link w:val="Gvdemetni21"/>
    <w:rsid w:val="00872AF0"/>
    <w:rPr>
      <w:b/>
      <w:bCs/>
      <w:sz w:val="23"/>
      <w:szCs w:val="23"/>
      <w:shd w:val="clear" w:color="auto" w:fill="FFFFFF"/>
    </w:rPr>
  </w:style>
  <w:style w:type="paragraph" w:customStyle="1" w:styleId="Gvdemetni21">
    <w:name w:val="Gövde metni (2)1"/>
    <w:basedOn w:val="Normal"/>
    <w:link w:val="Gvdemetni2"/>
    <w:rsid w:val="00872AF0"/>
    <w:pPr>
      <w:shd w:val="clear" w:color="auto" w:fill="FFFFFF"/>
      <w:spacing w:line="240" w:lineRule="atLeast"/>
    </w:pPr>
    <w:rPr>
      <w:rFonts w:asciiTheme="minorHAnsi" w:eastAsiaTheme="minorHAnsi" w:hAnsiTheme="minorHAnsi" w:cstheme="minorBidi"/>
      <w:b/>
      <w:bCs/>
      <w:sz w:val="23"/>
      <w:szCs w:val="23"/>
      <w:shd w:val="clear" w:color="auto" w:fill="FFFFFF"/>
      <w:lang w:eastAsia="en-US"/>
    </w:rPr>
  </w:style>
  <w:style w:type="character" w:customStyle="1" w:styleId="Gvdemetni">
    <w:name w:val="Gövde metni_"/>
    <w:link w:val="Gvdemetni1"/>
    <w:rsid w:val="00872AF0"/>
    <w:rPr>
      <w:sz w:val="23"/>
      <w:szCs w:val="23"/>
      <w:shd w:val="clear" w:color="auto" w:fill="FFFFFF"/>
    </w:rPr>
  </w:style>
  <w:style w:type="paragraph" w:customStyle="1" w:styleId="Gvdemetni1">
    <w:name w:val="Gövde metni1"/>
    <w:basedOn w:val="Normal"/>
    <w:link w:val="Gvdemetni"/>
    <w:rsid w:val="00872AF0"/>
    <w:pPr>
      <w:shd w:val="clear" w:color="auto" w:fill="FFFFFF"/>
      <w:spacing w:after="360" w:line="240" w:lineRule="atLeast"/>
      <w:ind w:hanging="780"/>
    </w:pPr>
    <w:rPr>
      <w:rFonts w:asciiTheme="minorHAnsi" w:eastAsiaTheme="minorHAnsi" w:hAnsiTheme="minorHAnsi" w:cstheme="minorBidi"/>
      <w:sz w:val="23"/>
      <w:szCs w:val="23"/>
      <w:shd w:val="clear" w:color="auto" w:fill="FFFFFF"/>
      <w:lang w:eastAsia="en-US"/>
    </w:rPr>
  </w:style>
  <w:style w:type="paragraph" w:styleId="AltBilgi">
    <w:name w:val="footer"/>
    <w:basedOn w:val="Normal"/>
    <w:link w:val="AltBilgiChar"/>
    <w:rsid w:val="00872AF0"/>
    <w:pPr>
      <w:tabs>
        <w:tab w:val="center" w:pos="4536"/>
        <w:tab w:val="right" w:pos="9072"/>
      </w:tabs>
    </w:pPr>
  </w:style>
  <w:style w:type="character" w:customStyle="1" w:styleId="AltBilgiChar">
    <w:name w:val="Alt Bilgi Char"/>
    <w:basedOn w:val="VarsaylanParagrafYazTipi"/>
    <w:link w:val="AltBilgi"/>
    <w:rsid w:val="00872AF0"/>
    <w:rPr>
      <w:rFonts w:ascii="Times New Roman" w:eastAsia="Times New Roman" w:hAnsi="Times New Roman" w:cs="Times New Roman"/>
      <w:sz w:val="24"/>
      <w:szCs w:val="24"/>
      <w:lang w:eastAsia="tr-TR"/>
    </w:rPr>
  </w:style>
  <w:style w:type="character" w:styleId="Kpr">
    <w:name w:val="Hyperlink"/>
    <w:rsid w:val="00872AF0"/>
    <w:rPr>
      <w:color w:val="0000FF"/>
      <w:u w:val="single"/>
    </w:rPr>
  </w:style>
  <w:style w:type="paragraph" w:styleId="stBilgi">
    <w:name w:val="header"/>
    <w:basedOn w:val="Normal"/>
    <w:link w:val="stBilgiChar"/>
    <w:rsid w:val="00872AF0"/>
    <w:pPr>
      <w:tabs>
        <w:tab w:val="center" w:pos="4536"/>
        <w:tab w:val="right" w:pos="9072"/>
      </w:tabs>
    </w:pPr>
  </w:style>
  <w:style w:type="character" w:customStyle="1" w:styleId="stBilgiChar">
    <w:name w:val="Üst Bilgi Char"/>
    <w:basedOn w:val="VarsaylanParagrafYazTipi"/>
    <w:link w:val="stBilgi"/>
    <w:rsid w:val="00872AF0"/>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872AF0"/>
    <w:rPr>
      <w:sz w:val="20"/>
      <w:szCs w:val="20"/>
    </w:rPr>
  </w:style>
  <w:style w:type="character" w:customStyle="1" w:styleId="DipnotMetniChar">
    <w:name w:val="Dipnot Metni Char"/>
    <w:basedOn w:val="VarsaylanParagrafYazTipi"/>
    <w:link w:val="DipnotMetni"/>
    <w:semiHidden/>
    <w:rsid w:val="00872AF0"/>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unhideWhenUsed/>
    <w:rsid w:val="00872AF0"/>
    <w:rPr>
      <w:rFonts w:ascii="Tahoma" w:hAnsi="Tahoma" w:cs="Tahoma"/>
      <w:sz w:val="16"/>
      <w:szCs w:val="16"/>
    </w:rPr>
  </w:style>
  <w:style w:type="character" w:customStyle="1" w:styleId="BalonMetniChar">
    <w:name w:val="Balon Metni Char"/>
    <w:basedOn w:val="VarsaylanParagrafYazTipi"/>
    <w:link w:val="BalonMetni"/>
    <w:semiHidden/>
    <w:rsid w:val="00872AF0"/>
    <w:rPr>
      <w:rFonts w:ascii="Tahoma" w:eastAsia="Times New Roman" w:hAnsi="Tahoma" w:cs="Tahoma"/>
      <w:sz w:val="16"/>
      <w:szCs w:val="16"/>
      <w:lang w:eastAsia="tr-TR"/>
    </w:rPr>
  </w:style>
  <w:style w:type="character" w:styleId="zlenenKpr">
    <w:name w:val="FollowedHyperlink"/>
    <w:basedOn w:val="VarsaylanParagrafYazTipi"/>
    <w:rsid w:val="00872AF0"/>
    <w:rPr>
      <w:color w:val="800080"/>
      <w:u w:val="single"/>
    </w:rPr>
  </w:style>
  <w:style w:type="character" w:styleId="SayfaNumaras">
    <w:name w:val="page number"/>
    <w:basedOn w:val="VarsaylanParagrafYazTipi"/>
    <w:rsid w:val="00872AF0"/>
  </w:style>
  <w:style w:type="character" w:customStyle="1" w:styleId="apple-converted-space">
    <w:name w:val="apple-converted-space"/>
    <w:basedOn w:val="VarsaylanParagrafYazTipi"/>
    <w:rsid w:val="00204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cit.ozaydin\Desktop\WEB\Y&#246;netmelik%202009\G&#252;mr&#252;k%20Y&#246;netmeli&#287;i%2008.10.2009.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mecit.ozaydin\Desktop\WEB\Y&#246;netmelik%202009\G&#252;mr&#252;k%20Y&#246;netmeli&#287;i%2008.10.2009.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mecit.ozaydin\Desktop\WEB\Di&#287;er%20Tebli&#287;ler\G&#252;mr&#252;k%20Genel%20Tebli&#287;i%20(Yetkilendirilmi&#351;%20G&#252;mr&#252;k%20M&#252;&#351;avirli&#287;i)%20Seri%20No%206.doc"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ÖZAYDIN</dc:creator>
  <cp:keywords/>
  <dc:description/>
  <cp:lastModifiedBy>Mecit ÖZAYDIN</cp:lastModifiedBy>
  <cp:revision>2</cp:revision>
  <dcterms:created xsi:type="dcterms:W3CDTF">2018-01-12T12:15:00Z</dcterms:created>
  <dcterms:modified xsi:type="dcterms:W3CDTF">2018-01-12T12:15:00Z</dcterms:modified>
</cp:coreProperties>
</file>