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5D" w:rsidRPr="000D72E0" w:rsidRDefault="00B5095D" w:rsidP="00B5095D">
      <w:pPr>
        <w:jc w:val="center"/>
        <w:rPr>
          <w:b/>
          <w:sz w:val="22"/>
          <w:szCs w:val="22"/>
        </w:rPr>
      </w:pPr>
      <w:r w:rsidRPr="000D72E0">
        <w:rPr>
          <w:b/>
          <w:sz w:val="22"/>
          <w:szCs w:val="22"/>
        </w:rPr>
        <w:t>T.C.</w:t>
      </w:r>
    </w:p>
    <w:p w:rsidR="00B5095D" w:rsidRPr="000D72E0" w:rsidRDefault="00B5095D" w:rsidP="00B5095D">
      <w:pPr>
        <w:jc w:val="center"/>
        <w:rPr>
          <w:b/>
          <w:sz w:val="22"/>
          <w:szCs w:val="22"/>
        </w:rPr>
      </w:pPr>
      <w:r w:rsidRPr="000D72E0">
        <w:rPr>
          <w:b/>
          <w:sz w:val="22"/>
          <w:szCs w:val="22"/>
        </w:rPr>
        <w:t>GÜMRÜK VE TİCARET BAKANLIĞI</w:t>
      </w:r>
    </w:p>
    <w:p w:rsidR="00B5095D" w:rsidRPr="000D72E0" w:rsidRDefault="00B5095D" w:rsidP="00B5095D">
      <w:pPr>
        <w:jc w:val="center"/>
        <w:rPr>
          <w:b/>
          <w:sz w:val="22"/>
          <w:szCs w:val="22"/>
        </w:rPr>
      </w:pPr>
      <w:r w:rsidRPr="000D72E0">
        <w:rPr>
          <w:b/>
          <w:sz w:val="22"/>
          <w:szCs w:val="22"/>
        </w:rPr>
        <w:t>Avrupa Birliği ve Dış İlişkiler Genel Müdürlüğü</w:t>
      </w:r>
    </w:p>
    <w:p w:rsidR="00B5095D" w:rsidRPr="000D72E0" w:rsidRDefault="00B5095D" w:rsidP="00B5095D">
      <w:pPr>
        <w:spacing w:before="120"/>
        <w:rPr>
          <w:sz w:val="22"/>
          <w:szCs w:val="22"/>
        </w:rPr>
      </w:pPr>
      <w:r w:rsidRPr="000D72E0">
        <w:rPr>
          <w:b/>
          <w:sz w:val="22"/>
          <w:szCs w:val="22"/>
        </w:rPr>
        <w:t>Sayı</w:t>
      </w:r>
      <w:r w:rsidRPr="000D72E0">
        <w:rPr>
          <w:b/>
          <w:sz w:val="22"/>
          <w:szCs w:val="22"/>
        </w:rPr>
        <w:tab/>
        <w:t>:</w:t>
      </w:r>
      <w:r w:rsidRPr="000D72E0">
        <w:rPr>
          <w:sz w:val="22"/>
          <w:szCs w:val="22"/>
        </w:rPr>
        <w:t>16934678/180.99</w:t>
      </w:r>
    </w:p>
    <w:p w:rsidR="00B5095D" w:rsidRPr="000D72E0" w:rsidRDefault="00B5095D" w:rsidP="00B5095D">
      <w:pPr>
        <w:spacing w:before="120"/>
        <w:rPr>
          <w:sz w:val="22"/>
          <w:szCs w:val="22"/>
        </w:rPr>
      </w:pPr>
      <w:r w:rsidRPr="000D72E0">
        <w:rPr>
          <w:b/>
          <w:sz w:val="22"/>
          <w:szCs w:val="22"/>
        </w:rPr>
        <w:t>Konu</w:t>
      </w:r>
      <w:r w:rsidRPr="000D72E0">
        <w:rPr>
          <w:b/>
          <w:sz w:val="22"/>
          <w:szCs w:val="22"/>
        </w:rPr>
        <w:tab/>
        <w:t>:</w:t>
      </w:r>
      <w:r w:rsidRPr="000D72E0">
        <w:rPr>
          <w:sz w:val="22"/>
          <w:szCs w:val="22"/>
        </w:rPr>
        <w:t>2014/1 sayılı Genelge</w:t>
      </w:r>
    </w:p>
    <w:p w:rsidR="00B5095D" w:rsidRPr="000D72E0" w:rsidRDefault="00B5095D" w:rsidP="00B5095D">
      <w:pPr>
        <w:spacing w:before="120"/>
        <w:rPr>
          <w:sz w:val="22"/>
          <w:szCs w:val="22"/>
        </w:rPr>
      </w:pPr>
      <w:r w:rsidRPr="000D72E0">
        <w:rPr>
          <w:sz w:val="22"/>
          <w:szCs w:val="22"/>
        </w:rPr>
        <w:t xml:space="preserve"> </w:t>
      </w:r>
    </w:p>
    <w:p w:rsidR="00B5095D" w:rsidRDefault="00B5095D" w:rsidP="00B5095D">
      <w:pPr>
        <w:spacing w:before="120"/>
        <w:jc w:val="center"/>
        <w:rPr>
          <w:b/>
          <w:sz w:val="22"/>
          <w:szCs w:val="22"/>
        </w:rPr>
      </w:pPr>
      <w:r>
        <w:rPr>
          <w:b/>
          <w:sz w:val="22"/>
          <w:szCs w:val="22"/>
        </w:rPr>
        <w:t>20.10.2014 / 3385059</w:t>
      </w:r>
    </w:p>
    <w:p w:rsidR="00B5095D" w:rsidRPr="000D72E0" w:rsidRDefault="00B5095D" w:rsidP="00B5095D">
      <w:pPr>
        <w:spacing w:before="120"/>
        <w:jc w:val="center"/>
        <w:rPr>
          <w:b/>
          <w:sz w:val="22"/>
          <w:szCs w:val="22"/>
        </w:rPr>
      </w:pPr>
      <w:r w:rsidRPr="000D72E0">
        <w:rPr>
          <w:b/>
          <w:sz w:val="22"/>
          <w:szCs w:val="22"/>
        </w:rPr>
        <w:t>DAĞITIM</w:t>
      </w:r>
    </w:p>
    <w:p w:rsidR="00B5095D" w:rsidRPr="000D72E0" w:rsidRDefault="00B5095D" w:rsidP="00B5095D">
      <w:pPr>
        <w:spacing w:before="120"/>
        <w:rPr>
          <w:sz w:val="22"/>
          <w:szCs w:val="22"/>
        </w:rPr>
      </w:pPr>
      <w:r w:rsidRPr="000D72E0">
        <w:rPr>
          <w:sz w:val="22"/>
          <w:szCs w:val="22"/>
        </w:rPr>
        <w:t xml:space="preserve"> </w:t>
      </w:r>
    </w:p>
    <w:p w:rsidR="00B5095D" w:rsidRPr="000D72E0" w:rsidRDefault="00B5095D" w:rsidP="00B5095D">
      <w:pPr>
        <w:spacing w:before="120"/>
        <w:rPr>
          <w:sz w:val="22"/>
          <w:szCs w:val="22"/>
        </w:rPr>
      </w:pPr>
      <w:r w:rsidRPr="000D72E0">
        <w:rPr>
          <w:b/>
          <w:sz w:val="22"/>
          <w:szCs w:val="22"/>
        </w:rPr>
        <w:t>İlgi</w:t>
      </w:r>
      <w:r w:rsidRPr="000D72E0">
        <w:rPr>
          <w:b/>
          <w:sz w:val="22"/>
          <w:szCs w:val="22"/>
        </w:rPr>
        <w:tab/>
        <w:t>:</w:t>
      </w:r>
      <w:r w:rsidRPr="000D72E0">
        <w:rPr>
          <w:sz w:val="22"/>
          <w:szCs w:val="22"/>
        </w:rPr>
        <w:t xml:space="preserve">25.03.2014 tarihli ve </w:t>
      </w:r>
      <w:hyperlink r:id="rId7" w:history="1">
        <w:r w:rsidRPr="00C236E8">
          <w:rPr>
            <w:rStyle w:val="Kpr"/>
            <w:sz w:val="22"/>
            <w:szCs w:val="22"/>
          </w:rPr>
          <w:t>2</w:t>
        </w:r>
        <w:r w:rsidRPr="00C236E8">
          <w:rPr>
            <w:rStyle w:val="Kpr"/>
            <w:sz w:val="22"/>
            <w:szCs w:val="22"/>
          </w:rPr>
          <w:t>0</w:t>
        </w:r>
        <w:r w:rsidRPr="00C236E8">
          <w:rPr>
            <w:rStyle w:val="Kpr"/>
            <w:sz w:val="22"/>
            <w:szCs w:val="22"/>
          </w:rPr>
          <w:t>14/1</w:t>
        </w:r>
      </w:hyperlink>
      <w:r w:rsidRPr="000D72E0">
        <w:rPr>
          <w:sz w:val="22"/>
          <w:szCs w:val="22"/>
        </w:rPr>
        <w:t xml:space="preserve"> sayılı Genelge.</w:t>
      </w:r>
    </w:p>
    <w:p w:rsidR="00B5095D" w:rsidRPr="000D72E0" w:rsidRDefault="00B5095D" w:rsidP="00B5095D">
      <w:pPr>
        <w:spacing w:before="120"/>
        <w:rPr>
          <w:sz w:val="22"/>
          <w:szCs w:val="22"/>
        </w:rPr>
      </w:pPr>
    </w:p>
    <w:p w:rsidR="00B5095D" w:rsidRPr="000D72E0" w:rsidRDefault="00B5095D" w:rsidP="00B5095D">
      <w:pPr>
        <w:spacing w:before="120"/>
        <w:ind w:firstLine="709"/>
        <w:jc w:val="both"/>
        <w:rPr>
          <w:sz w:val="22"/>
          <w:szCs w:val="22"/>
        </w:rPr>
      </w:pPr>
      <w:r w:rsidRPr="000D72E0">
        <w:rPr>
          <w:sz w:val="22"/>
          <w:szCs w:val="22"/>
        </w:rPr>
        <w:t>İlgide kayıtlı Genelgenin yürürlüğe girdiği 1 Nisan 2014 tarihi itibariyle Gümrük ve Ticaret Bölge Müdürlüklerinden alınan muhtelif yazılardan, bahse konu Genelgenin "İhracatta Düzenlenmiş Olan Belgelerin Sonradan Kontrolü" başlıklı 4 üncü maddesinin ikinci ve dördüncü fıkralarına ilişkin olarak Yetkilendirilmiş Gümrük Müşaviri tarafından hazırlanacak tespit raporu aranmaması yönündeki uygulamanın, sonradan kontrol süreci Genelgenin yürürlük tarihinden önce başlamış olan belgeler için de geçerli olup olmadığı hususunda tereddüt hasıl olduğu anlaşıldığından,  Hukuk Müşavirliği'nin konuyla ilgili uygulamaya esas oluşturacak görüş ve önerileri talep edilmiştir.</w:t>
      </w:r>
    </w:p>
    <w:p w:rsidR="00B5095D" w:rsidRPr="000D72E0" w:rsidRDefault="00B5095D" w:rsidP="00B5095D">
      <w:pPr>
        <w:spacing w:before="120"/>
        <w:ind w:firstLine="709"/>
        <w:jc w:val="both"/>
        <w:rPr>
          <w:sz w:val="22"/>
          <w:szCs w:val="22"/>
        </w:rPr>
      </w:pPr>
      <w:r w:rsidRPr="000D72E0">
        <w:rPr>
          <w:sz w:val="22"/>
          <w:szCs w:val="22"/>
        </w:rPr>
        <w:t xml:space="preserve">Hukuk Müşavirliği'nden alınan 17 Eylül 2014 tarihli ve 2807728 sayılı yazıda </w:t>
      </w:r>
      <w:r w:rsidRPr="000D72E0">
        <w:rPr>
          <w:i/>
          <w:sz w:val="22"/>
          <w:szCs w:val="22"/>
        </w:rPr>
        <w:t>"... 2014/1 sayılı Genelge hükümlerinin sonradan kontrol sürecinin anılan tarih öncesinde başlamış olup halen devam eden, işlemleri tamamlanmamış, geçmişe yönelik talepleri de kapsaması yönündeki Genel Müdürlüğünüz görüşüne Müşavirliğimizce de iştirak edilmektedir.</w:t>
      </w:r>
      <w:r w:rsidRPr="000D72E0">
        <w:rPr>
          <w:sz w:val="22"/>
          <w:szCs w:val="22"/>
        </w:rPr>
        <w:t>"  denilmektedir.</w:t>
      </w:r>
    </w:p>
    <w:p w:rsidR="00B5095D" w:rsidRDefault="00B5095D" w:rsidP="00B5095D">
      <w:pPr>
        <w:spacing w:before="120"/>
        <w:ind w:firstLine="709"/>
        <w:jc w:val="both"/>
        <w:rPr>
          <w:sz w:val="22"/>
          <w:szCs w:val="22"/>
        </w:rPr>
      </w:pPr>
      <w:r w:rsidRPr="000D72E0">
        <w:rPr>
          <w:sz w:val="22"/>
          <w:szCs w:val="22"/>
        </w:rPr>
        <w:t>Bu çerçevede, sonradan kontrol süreci, 2014/1 sayılı Genelge'nin yürürlüğe girdiği 01.04.2014 tarihi öncesinde başlamış olup halen devam eden, işlemleri tamamlanmamış, geçmişe yönelik belgeler için de anılan Genelge hükümler</w:t>
      </w:r>
      <w:r>
        <w:rPr>
          <w:sz w:val="22"/>
          <w:szCs w:val="22"/>
        </w:rPr>
        <w:t>inin uygulanması gerekmektedir.</w:t>
      </w:r>
    </w:p>
    <w:p w:rsidR="00B5095D" w:rsidRPr="000D72E0" w:rsidRDefault="00B5095D" w:rsidP="00B5095D">
      <w:pPr>
        <w:spacing w:before="120"/>
        <w:ind w:firstLine="709"/>
        <w:jc w:val="both"/>
        <w:rPr>
          <w:sz w:val="22"/>
          <w:szCs w:val="22"/>
        </w:rPr>
      </w:pPr>
      <w:r w:rsidRPr="000D72E0">
        <w:rPr>
          <w:sz w:val="22"/>
          <w:szCs w:val="22"/>
        </w:rPr>
        <w:t>Bilgi edinilmesi ve bağlantı Gümrük Müdürlüklerinin de bilgilendirilmesi hususunda gereğini rica ederim.</w:t>
      </w:r>
    </w:p>
    <w:p w:rsidR="00B5095D" w:rsidRPr="000D72E0" w:rsidRDefault="00B5095D" w:rsidP="00B5095D">
      <w:pPr>
        <w:spacing w:before="120"/>
        <w:ind w:firstLine="709"/>
        <w:jc w:val="both"/>
        <w:rPr>
          <w:sz w:val="22"/>
          <w:szCs w:val="22"/>
        </w:rPr>
      </w:pPr>
    </w:p>
    <w:p w:rsidR="00B5095D" w:rsidRPr="000D72E0" w:rsidRDefault="00B5095D" w:rsidP="00B5095D">
      <w:pPr>
        <w:jc w:val="right"/>
        <w:rPr>
          <w:sz w:val="22"/>
          <w:szCs w:val="22"/>
        </w:rPr>
      </w:pPr>
    </w:p>
    <w:p w:rsidR="00B5095D" w:rsidRPr="000D72E0" w:rsidRDefault="00B5095D" w:rsidP="00B5095D">
      <w:pPr>
        <w:jc w:val="right"/>
        <w:rPr>
          <w:sz w:val="22"/>
          <w:szCs w:val="22"/>
        </w:rPr>
      </w:pPr>
      <w:r w:rsidRPr="000D72E0">
        <w:rPr>
          <w:sz w:val="22"/>
          <w:szCs w:val="22"/>
        </w:rPr>
        <w:t>Hasan KÖSEOĞLU</w:t>
      </w:r>
    </w:p>
    <w:p w:rsidR="00B5095D" w:rsidRPr="000D72E0" w:rsidRDefault="00B5095D" w:rsidP="00B5095D">
      <w:pPr>
        <w:jc w:val="right"/>
        <w:rPr>
          <w:sz w:val="22"/>
          <w:szCs w:val="22"/>
        </w:rPr>
      </w:pPr>
      <w:r w:rsidRPr="000D72E0">
        <w:rPr>
          <w:sz w:val="22"/>
          <w:szCs w:val="22"/>
        </w:rPr>
        <w:t>Genel Müdür</w:t>
      </w:r>
    </w:p>
    <w:p w:rsidR="00B5095D" w:rsidRPr="000D72E0" w:rsidRDefault="00B5095D" w:rsidP="00B5095D">
      <w:pPr>
        <w:jc w:val="right"/>
        <w:rPr>
          <w:sz w:val="22"/>
          <w:szCs w:val="22"/>
        </w:rPr>
      </w:pPr>
    </w:p>
    <w:p w:rsidR="00B5095D" w:rsidRPr="000D72E0" w:rsidRDefault="00B5095D" w:rsidP="00B5095D">
      <w:pPr>
        <w:jc w:val="right"/>
        <w:rPr>
          <w:sz w:val="22"/>
          <w:szCs w:val="22"/>
        </w:rPr>
      </w:pPr>
    </w:p>
    <w:p w:rsidR="003F0D3B" w:rsidRPr="00B5095D" w:rsidRDefault="003F0D3B" w:rsidP="00B5095D">
      <w:bookmarkStart w:id="0" w:name="_GoBack"/>
      <w:bookmarkEnd w:id="0"/>
    </w:p>
    <w:sectPr w:rsidR="003F0D3B" w:rsidRPr="00B5095D" w:rsidSect="00AB1D64">
      <w:headerReference w:type="even" r:id="rId8"/>
      <w:headerReference w:type="default" r:id="rId9"/>
      <w:footerReference w:type="even" r:id="rId10"/>
      <w:footerReference w:type="default" r:id="rId11"/>
      <w:headerReference w:type="first" r:id="rId12"/>
      <w:footerReference w:type="first" r:id="rId13"/>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20" w:rsidRDefault="00373720" w:rsidP="00872AF0">
      <w:r>
        <w:separator/>
      </w:r>
    </w:p>
  </w:endnote>
  <w:endnote w:type="continuationSeparator" w:id="0">
    <w:p w:rsidR="00373720" w:rsidRDefault="00373720"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373720"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B5095D">
      <w:rPr>
        <w:rStyle w:val="SayfaNumaras"/>
        <w:noProof/>
        <w:sz w:val="20"/>
      </w:rPr>
      <w:t>1</w:t>
    </w:r>
    <w:r w:rsidRPr="00742F13">
      <w:rPr>
        <w:rStyle w:val="SayfaNumaras"/>
        <w:sz w:val="20"/>
      </w:rPr>
      <w:fldChar w:fldCharType="end"/>
    </w:r>
  </w:p>
  <w:p w:rsidR="00C65A05" w:rsidRDefault="00373720"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20" w:rsidRDefault="00373720" w:rsidP="00872AF0">
      <w:r>
        <w:separator/>
      </w:r>
    </w:p>
  </w:footnote>
  <w:footnote w:type="continuationSeparator" w:id="0">
    <w:p w:rsidR="00373720" w:rsidRDefault="00373720"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7372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7372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37372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1146D4"/>
    <w:rsid w:val="00204119"/>
    <w:rsid w:val="00236205"/>
    <w:rsid w:val="002B692C"/>
    <w:rsid w:val="00373720"/>
    <w:rsid w:val="003F0D3B"/>
    <w:rsid w:val="0054609F"/>
    <w:rsid w:val="006B4A19"/>
    <w:rsid w:val="00872AF0"/>
    <w:rsid w:val="00916AA5"/>
    <w:rsid w:val="00AB12A9"/>
    <w:rsid w:val="00B5095D"/>
    <w:rsid w:val="00CC4547"/>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 w:type="character" w:customStyle="1" w:styleId="apple-converted-space">
    <w:name w:val="apple-converted-space"/>
    <w:basedOn w:val="VarsaylanParagrafYazTipi"/>
    <w:rsid w:val="0020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ecit.ozaydin\Desktop\WEB\Genelgeler\ABD&#305;&#351;&#304;li&#351;kiler%202014-01%20A.TR%20Dola&#351;&#305;m%20Belgeleri%20ve%20men&#351;e%20belgeleri%20(EUR.1,%20EUR-MED,%20Form%20A)%20kabul&#252;,%20vize%20edilmesi%20ve%20sonradan%20kontrol&#252;.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2018-01-12T12:16:00Z</dcterms:created>
  <dcterms:modified xsi:type="dcterms:W3CDTF">2018-01-12T12:16:00Z</dcterms:modified>
</cp:coreProperties>
</file>