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CCE" w:rsidRPr="00CF52F4" w:rsidRDefault="000E2CCE" w:rsidP="000E2CCE">
      <w:pPr>
        <w:jc w:val="center"/>
        <w:rPr>
          <w:b/>
        </w:rPr>
      </w:pPr>
      <w:r w:rsidRPr="00CF52F4">
        <w:rPr>
          <w:b/>
        </w:rPr>
        <w:t>T.C.</w:t>
      </w:r>
    </w:p>
    <w:p w:rsidR="000E2CCE" w:rsidRPr="00CF52F4" w:rsidRDefault="000E2CCE" w:rsidP="000E2CCE">
      <w:pPr>
        <w:jc w:val="center"/>
        <w:rPr>
          <w:b/>
        </w:rPr>
      </w:pPr>
      <w:r w:rsidRPr="00CF52F4">
        <w:rPr>
          <w:b/>
        </w:rPr>
        <w:t>GÜMRÜK VE TİCARET BAKANLIĞI</w:t>
      </w:r>
    </w:p>
    <w:p w:rsidR="000E2CCE" w:rsidRPr="00CF52F4" w:rsidRDefault="000E2CCE" w:rsidP="000E2CCE">
      <w:pPr>
        <w:jc w:val="center"/>
        <w:rPr>
          <w:b/>
        </w:rPr>
      </w:pPr>
      <w:r w:rsidRPr="00CF52F4">
        <w:rPr>
          <w:b/>
        </w:rPr>
        <w:t>Gümrükler Genel Müdürlüğü</w:t>
      </w:r>
    </w:p>
    <w:p w:rsidR="000E2CCE" w:rsidRDefault="000E2CCE" w:rsidP="000E2CCE">
      <w:r w:rsidRPr="00CF52F4">
        <w:rPr>
          <w:b/>
        </w:rPr>
        <w:t>Sayı</w:t>
      </w:r>
      <w:r>
        <w:t xml:space="preserve"> : 40216608/131.99 </w:t>
      </w:r>
    </w:p>
    <w:p w:rsidR="000E2CCE" w:rsidRDefault="000E2CCE" w:rsidP="000E2CCE">
      <w:r w:rsidRPr="00CF52F4">
        <w:rPr>
          <w:b/>
        </w:rPr>
        <w:t>Konu</w:t>
      </w:r>
      <w:r>
        <w:t xml:space="preserve"> : YGM Sözleşmesi Yapmayan Antrepo İşleticileri</w:t>
      </w:r>
    </w:p>
    <w:p w:rsidR="000E2CCE" w:rsidRDefault="000E2CCE" w:rsidP="000E2CCE">
      <w:pPr>
        <w:spacing w:before="120"/>
      </w:pPr>
    </w:p>
    <w:p w:rsidR="000E2CCE" w:rsidRDefault="000E2CCE" w:rsidP="000E2CCE">
      <w:pPr>
        <w:spacing w:before="120"/>
      </w:pPr>
    </w:p>
    <w:p w:rsidR="000E2CCE" w:rsidRPr="009A153B" w:rsidRDefault="000E2CCE" w:rsidP="000E2CCE">
      <w:pPr>
        <w:spacing w:before="120"/>
        <w:jc w:val="center"/>
        <w:rPr>
          <w:b/>
        </w:rPr>
      </w:pPr>
      <w:r w:rsidRPr="009A153B">
        <w:rPr>
          <w:b/>
        </w:rPr>
        <w:t>08.01.2015 / 5090562</w:t>
      </w:r>
    </w:p>
    <w:p w:rsidR="000E2CCE" w:rsidRPr="009A153B" w:rsidRDefault="000E2CCE" w:rsidP="000E2CCE">
      <w:pPr>
        <w:spacing w:before="120"/>
        <w:jc w:val="center"/>
        <w:rPr>
          <w:b/>
        </w:rPr>
      </w:pPr>
      <w:r w:rsidRPr="009A153B">
        <w:rPr>
          <w:b/>
        </w:rPr>
        <w:t>DAĞITIM</w:t>
      </w:r>
    </w:p>
    <w:p w:rsidR="000E2CCE" w:rsidRDefault="000E2CCE" w:rsidP="000E2CCE">
      <w:pPr>
        <w:spacing w:before="120"/>
      </w:pPr>
    </w:p>
    <w:p w:rsidR="000E2CCE" w:rsidRDefault="000E2CCE" w:rsidP="000E2CCE">
      <w:pPr>
        <w:spacing w:before="120"/>
      </w:pPr>
    </w:p>
    <w:p w:rsidR="000E2CCE" w:rsidRDefault="000E2CCE" w:rsidP="000E2CCE">
      <w:pPr>
        <w:spacing w:before="120"/>
        <w:ind w:firstLine="709"/>
        <w:jc w:val="both"/>
      </w:pPr>
      <w:r>
        <w:t>Bakanlığımıza intikal eden olaylardan, Danıştay 15 inci Dairesinin No:</w:t>
      </w:r>
      <w:hyperlink r:id="rId7" w:history="1">
        <w:r w:rsidRPr="00B44A67">
          <w:rPr>
            <w:rStyle w:val="Kpr"/>
          </w:rPr>
          <w:t>9839</w:t>
        </w:r>
      </w:hyperlink>
      <w:r>
        <w:t xml:space="preserve"> sayılı, 18.12.2014 günlü Kararı ile 02.12.2014 tarihli 29193 sayılı Resmi Gazete’de yayımlanarak yürürlüğe giren Gümrük Genel Tebliği’nde (Yetkilendirilmiş Gümrük Müşavirliği) (</w:t>
      </w:r>
      <w:hyperlink r:id="rId8" w:history="1">
        <w:r w:rsidRPr="003B4672">
          <w:rPr>
            <w:rStyle w:val="Kpr"/>
          </w:rPr>
          <w:t>Seri No:2</w:t>
        </w:r>
      </w:hyperlink>
      <w:r>
        <w:t>) Değişiklik Yapılmasına Dair Tebliğ ve anılan Tebliğin yürütmesinin durdurulması Kararı sonrasında; antrepo işleticilerince yetkilendirilmiş gümrük müşavirleri ile tespit sözleşmesi yapmaktan imtina edildiği ve sözleşme yapmayan antrepoların işlemlerinin sadece memur eliyle yürütülmesinin mümkün olup olmadığı hususlarında tereddüt yaşandığı anlaşılmıştır.</w:t>
      </w:r>
    </w:p>
    <w:p w:rsidR="000E2CCE" w:rsidRDefault="000E2CCE" w:rsidP="000E2CCE">
      <w:pPr>
        <w:spacing w:before="120"/>
        <w:ind w:firstLine="709"/>
        <w:jc w:val="both"/>
      </w:pPr>
      <w:r>
        <w:t xml:space="preserve">Danıştay 15 inci Dairesinin söz konusu yürütmeyi durdurma kararı neticesinde, Gümrük Genel Tebliği’nin (Yetkilendirilmiş Gümrük Müşavirliği) (Seri No:2) tüm maddeleri halen yürürlükte olup antrepolarda işlemlerin anılan tebliğ hükümleri uyarınca ifa edilmesi gerekmektedir. Konu ile ilgili olarak 30.12.2014 tarihli, </w:t>
      </w:r>
      <w:hyperlink r:id="rId9" w:history="1">
        <w:r w:rsidRPr="003B4672">
          <w:rPr>
            <w:rStyle w:val="Kpr"/>
          </w:rPr>
          <w:t>2014/</w:t>
        </w:r>
        <w:r w:rsidRPr="003B4672">
          <w:rPr>
            <w:rStyle w:val="Kpr"/>
          </w:rPr>
          <w:t>3</w:t>
        </w:r>
        <w:r w:rsidRPr="003B4672">
          <w:rPr>
            <w:rStyle w:val="Kpr"/>
          </w:rPr>
          <w:t>0</w:t>
        </w:r>
      </w:hyperlink>
      <w:r>
        <w:t xml:space="preserve"> sayılı Genelge ile de Yetkilendirilmiş Gümrük Müşavirlerinin gümrük mevzuatı uyarınca kendilerine yüklenen iş ve işlemleri yerine getirmeye devam edeceği hüküm altına alınmıştır. Diğer taraftan, YGM'lerin yanı sıra antrepolarda memurların yetki ve sorumluluklarına ilişkin işlemler </w:t>
      </w:r>
      <w:hyperlink r:id="rId10" w:history="1">
        <w:r w:rsidRPr="003B4672">
          <w:rPr>
            <w:rStyle w:val="Kpr"/>
          </w:rPr>
          <w:t>2</w:t>
        </w:r>
        <w:r w:rsidRPr="003B4672">
          <w:rPr>
            <w:rStyle w:val="Kpr"/>
          </w:rPr>
          <w:t>0</w:t>
        </w:r>
        <w:r w:rsidRPr="003B4672">
          <w:rPr>
            <w:rStyle w:val="Kpr"/>
          </w:rPr>
          <w:t>14/1</w:t>
        </w:r>
      </w:hyperlink>
      <w:r>
        <w:t xml:space="preserve"> sayılı İç Genelge ve 2014/30 sayılı Genelge hükümleri çerçevesinde yürütülmeye devam edecektir.</w:t>
      </w:r>
    </w:p>
    <w:p w:rsidR="000E2CCE" w:rsidRDefault="000E2CCE" w:rsidP="000E2CCE">
      <w:pPr>
        <w:spacing w:before="120"/>
        <w:ind w:firstLine="709"/>
        <w:jc w:val="both"/>
      </w:pPr>
      <w:r>
        <w:t>Bilgi ve gereğini rica ederim.</w:t>
      </w:r>
    </w:p>
    <w:p w:rsidR="000E2CCE" w:rsidRDefault="000E2CCE" w:rsidP="000E2CCE">
      <w:pPr>
        <w:jc w:val="right"/>
      </w:pPr>
      <w:r>
        <w:t xml:space="preserve">Cenap AŞCI </w:t>
      </w:r>
    </w:p>
    <w:p w:rsidR="000E2CCE" w:rsidRDefault="000E2CCE" w:rsidP="000E2CCE">
      <w:pPr>
        <w:jc w:val="right"/>
      </w:pPr>
      <w:r>
        <w:t>Bakan a.</w:t>
      </w:r>
    </w:p>
    <w:p w:rsidR="000E2CCE" w:rsidRDefault="000E2CCE" w:rsidP="000E2CCE">
      <w:pPr>
        <w:jc w:val="right"/>
      </w:pPr>
      <w:r>
        <w:t>Genel Müdür</w:t>
      </w:r>
    </w:p>
    <w:p w:rsidR="000E2CCE" w:rsidRDefault="000E2CCE" w:rsidP="000E2CCE"/>
    <w:p w:rsidR="000E2CCE" w:rsidRDefault="000E2CCE" w:rsidP="000E2CCE"/>
    <w:p w:rsidR="000E2CCE" w:rsidRPr="009A153B" w:rsidRDefault="000E2CCE" w:rsidP="000E2CCE">
      <w:pPr>
        <w:rPr>
          <w:b/>
          <w:u w:val="single"/>
        </w:rPr>
      </w:pPr>
      <w:r w:rsidRPr="009A153B">
        <w:rPr>
          <w:b/>
          <w:u w:val="single"/>
        </w:rPr>
        <w:t>DAĞITIM:</w:t>
      </w:r>
    </w:p>
    <w:p w:rsidR="000E2CCE" w:rsidRDefault="000E2CCE" w:rsidP="000E2CCE">
      <w:r>
        <w:t>Tüm Gümrük ve Ticaret Bölge Müdürlükleri</w:t>
      </w:r>
    </w:p>
    <w:p w:rsidR="000E2CCE" w:rsidRPr="00CF52F4" w:rsidRDefault="000E2CCE" w:rsidP="000E2CCE"/>
    <w:p w:rsidR="003F0D3B" w:rsidRPr="000E2CCE" w:rsidRDefault="003F0D3B" w:rsidP="000E2CCE">
      <w:bookmarkStart w:id="0" w:name="_GoBack"/>
      <w:bookmarkEnd w:id="0"/>
    </w:p>
    <w:sectPr w:rsidR="003F0D3B" w:rsidRPr="000E2CCE" w:rsidSect="00AB1D64">
      <w:headerReference w:type="even" r:id="rId11"/>
      <w:headerReference w:type="default" r:id="rId12"/>
      <w:footerReference w:type="even" r:id="rId13"/>
      <w:footerReference w:type="default" r:id="rId14"/>
      <w:headerReference w:type="first" r:id="rId15"/>
      <w:footerReference w:type="first" r:id="rId16"/>
      <w:pgSz w:w="11906" w:h="16838"/>
      <w:pgMar w:top="1417" w:right="926"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87B" w:rsidRDefault="00BE487B" w:rsidP="00872AF0">
      <w:r>
        <w:separator/>
      </w:r>
    </w:p>
  </w:endnote>
  <w:endnote w:type="continuationSeparator" w:id="0">
    <w:p w:rsidR="00BE487B" w:rsidRDefault="00BE487B" w:rsidP="0087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05" w:rsidRDefault="00F50CF7" w:rsidP="00A104F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65A05" w:rsidRDefault="00BE487B" w:rsidP="00A104F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05" w:rsidRPr="00742F13" w:rsidRDefault="00F50CF7" w:rsidP="00A104F6">
    <w:pPr>
      <w:pStyle w:val="AltBilgi"/>
      <w:framePr w:wrap="around" w:vAnchor="text" w:hAnchor="margin" w:xAlign="right" w:y="1"/>
      <w:rPr>
        <w:rStyle w:val="SayfaNumaras"/>
        <w:sz w:val="20"/>
      </w:rPr>
    </w:pPr>
    <w:r w:rsidRPr="00742F13">
      <w:rPr>
        <w:rStyle w:val="SayfaNumaras"/>
        <w:sz w:val="20"/>
      </w:rPr>
      <w:fldChar w:fldCharType="begin"/>
    </w:r>
    <w:r w:rsidRPr="00742F13">
      <w:rPr>
        <w:rStyle w:val="SayfaNumaras"/>
        <w:sz w:val="20"/>
      </w:rPr>
      <w:instrText xml:space="preserve">PAGE  </w:instrText>
    </w:r>
    <w:r w:rsidRPr="00742F13">
      <w:rPr>
        <w:rStyle w:val="SayfaNumaras"/>
        <w:sz w:val="20"/>
      </w:rPr>
      <w:fldChar w:fldCharType="separate"/>
    </w:r>
    <w:r w:rsidR="000E2CCE">
      <w:rPr>
        <w:rStyle w:val="SayfaNumaras"/>
        <w:noProof/>
        <w:sz w:val="20"/>
      </w:rPr>
      <w:t>1</w:t>
    </w:r>
    <w:r w:rsidRPr="00742F13">
      <w:rPr>
        <w:rStyle w:val="SayfaNumaras"/>
        <w:sz w:val="20"/>
      </w:rPr>
      <w:fldChar w:fldCharType="end"/>
    </w:r>
  </w:p>
  <w:p w:rsidR="00C65A05" w:rsidRDefault="00BE487B" w:rsidP="00A104F6">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23620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87B" w:rsidRDefault="00BE487B" w:rsidP="00872AF0">
      <w:r>
        <w:separator/>
      </w:r>
    </w:p>
  </w:footnote>
  <w:footnote w:type="continuationSeparator" w:id="0">
    <w:p w:rsidR="00BE487B" w:rsidRDefault="00BE487B" w:rsidP="00872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BE487B">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2968" o:spid="_x0000_s2050" type="#_x0000_t75" style="position:absolute;margin-left:0;margin-top:0;width:478.05pt;height:268.5pt;z-index:-251657216;mso-position-horizontal:center;mso-position-horizontal-relative:margin;mso-position-vertical:center;mso-position-vertical-relative:margin" o:allowincell="f">
          <v:imagedata r:id="rId1" o:title="2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BE487B">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2969" o:spid="_x0000_s2051" type="#_x0000_t75" style="position:absolute;margin-left:0;margin-top:0;width:478.05pt;height:268.5pt;z-index:-251656192;mso-position-horizontal:center;mso-position-horizontal-relative:margin;mso-position-vertical:center;mso-position-vertical-relative:margin" o:allowincell="f">
          <v:imagedata r:id="rId1" o:title="2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BE487B">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2967" o:spid="_x0000_s2049" type="#_x0000_t75" style="position:absolute;margin-left:0;margin-top:0;width:478.05pt;height:268.5pt;z-index:-251658240;mso-position-horizontal:center;mso-position-horizontal-relative:margin;mso-position-vertical:center;mso-position-vertical-relative:margin" o:allowincell="f">
          <v:imagedata r:id="rId1" o:title="2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384081C"/>
    <w:lvl w:ilvl="0">
      <w:numFmt w:val="bullet"/>
      <w:lvlText w:val="*"/>
      <w:lvlJc w:val="left"/>
    </w:lvl>
  </w:abstractNum>
  <w:abstractNum w:abstractNumId="1" w15:restartNumberingAfterBreak="0">
    <w:nsid w:val="06A64215"/>
    <w:multiLevelType w:val="hybridMultilevel"/>
    <w:tmpl w:val="9D5C44F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4AE60E65"/>
    <w:multiLevelType w:val="hybridMultilevel"/>
    <w:tmpl w:val="273C9578"/>
    <w:lvl w:ilvl="0" w:tplc="AC28F45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6C31F34"/>
    <w:multiLevelType w:val="hybridMultilevel"/>
    <w:tmpl w:val="CEB47A3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F0"/>
    <w:rsid w:val="000E2CCE"/>
    <w:rsid w:val="001146D4"/>
    <w:rsid w:val="00236205"/>
    <w:rsid w:val="002B692C"/>
    <w:rsid w:val="003F0D3B"/>
    <w:rsid w:val="006B4A19"/>
    <w:rsid w:val="00872AF0"/>
    <w:rsid w:val="00916AA5"/>
    <w:rsid w:val="00BE487B"/>
    <w:rsid w:val="00F50C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4230DEC-4BC9-41AF-A4C5-17D6A5FB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2AF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link w:val="Gvdemetni21"/>
    <w:rsid w:val="00872AF0"/>
    <w:rPr>
      <w:b/>
      <w:bCs/>
      <w:sz w:val="23"/>
      <w:szCs w:val="23"/>
      <w:shd w:val="clear" w:color="auto" w:fill="FFFFFF"/>
    </w:rPr>
  </w:style>
  <w:style w:type="paragraph" w:customStyle="1" w:styleId="Gvdemetni21">
    <w:name w:val="Gövde metni (2)1"/>
    <w:basedOn w:val="Normal"/>
    <w:link w:val="Gvdemetni2"/>
    <w:rsid w:val="00872AF0"/>
    <w:pPr>
      <w:shd w:val="clear" w:color="auto" w:fill="FFFFFF"/>
      <w:spacing w:line="240" w:lineRule="atLeast"/>
    </w:pPr>
    <w:rPr>
      <w:rFonts w:asciiTheme="minorHAnsi" w:eastAsiaTheme="minorHAnsi" w:hAnsiTheme="minorHAnsi" w:cstheme="minorBidi"/>
      <w:b/>
      <w:bCs/>
      <w:sz w:val="23"/>
      <w:szCs w:val="23"/>
      <w:shd w:val="clear" w:color="auto" w:fill="FFFFFF"/>
      <w:lang w:eastAsia="en-US"/>
    </w:rPr>
  </w:style>
  <w:style w:type="character" w:customStyle="1" w:styleId="Gvdemetni">
    <w:name w:val="Gövde metni_"/>
    <w:link w:val="Gvdemetni1"/>
    <w:rsid w:val="00872AF0"/>
    <w:rPr>
      <w:sz w:val="23"/>
      <w:szCs w:val="23"/>
      <w:shd w:val="clear" w:color="auto" w:fill="FFFFFF"/>
    </w:rPr>
  </w:style>
  <w:style w:type="paragraph" w:customStyle="1" w:styleId="Gvdemetni1">
    <w:name w:val="Gövde metni1"/>
    <w:basedOn w:val="Normal"/>
    <w:link w:val="Gvdemetni"/>
    <w:rsid w:val="00872AF0"/>
    <w:pPr>
      <w:shd w:val="clear" w:color="auto" w:fill="FFFFFF"/>
      <w:spacing w:after="360" w:line="240" w:lineRule="atLeast"/>
      <w:ind w:hanging="780"/>
    </w:pPr>
    <w:rPr>
      <w:rFonts w:asciiTheme="minorHAnsi" w:eastAsiaTheme="minorHAnsi" w:hAnsiTheme="minorHAnsi" w:cstheme="minorBidi"/>
      <w:sz w:val="23"/>
      <w:szCs w:val="23"/>
      <w:shd w:val="clear" w:color="auto" w:fill="FFFFFF"/>
      <w:lang w:eastAsia="en-US"/>
    </w:rPr>
  </w:style>
  <w:style w:type="paragraph" w:styleId="AltBilgi">
    <w:name w:val="footer"/>
    <w:basedOn w:val="Normal"/>
    <w:link w:val="AltBilgiChar"/>
    <w:rsid w:val="00872AF0"/>
    <w:pPr>
      <w:tabs>
        <w:tab w:val="center" w:pos="4536"/>
        <w:tab w:val="right" w:pos="9072"/>
      </w:tabs>
    </w:pPr>
  </w:style>
  <w:style w:type="character" w:customStyle="1" w:styleId="AltBilgiChar">
    <w:name w:val="Alt Bilgi Char"/>
    <w:basedOn w:val="VarsaylanParagrafYazTipi"/>
    <w:link w:val="AltBilgi"/>
    <w:rsid w:val="00872AF0"/>
    <w:rPr>
      <w:rFonts w:ascii="Times New Roman" w:eastAsia="Times New Roman" w:hAnsi="Times New Roman" w:cs="Times New Roman"/>
      <w:sz w:val="24"/>
      <w:szCs w:val="24"/>
      <w:lang w:eastAsia="tr-TR"/>
    </w:rPr>
  </w:style>
  <w:style w:type="character" w:styleId="Kpr">
    <w:name w:val="Hyperlink"/>
    <w:rsid w:val="00872AF0"/>
    <w:rPr>
      <w:color w:val="0000FF"/>
      <w:u w:val="single"/>
    </w:rPr>
  </w:style>
  <w:style w:type="paragraph" w:styleId="stBilgi">
    <w:name w:val="header"/>
    <w:basedOn w:val="Normal"/>
    <w:link w:val="stBilgiChar"/>
    <w:rsid w:val="00872AF0"/>
    <w:pPr>
      <w:tabs>
        <w:tab w:val="center" w:pos="4536"/>
        <w:tab w:val="right" w:pos="9072"/>
      </w:tabs>
    </w:pPr>
  </w:style>
  <w:style w:type="character" w:customStyle="1" w:styleId="stBilgiChar">
    <w:name w:val="Üst Bilgi Char"/>
    <w:basedOn w:val="VarsaylanParagrafYazTipi"/>
    <w:link w:val="stBilgi"/>
    <w:rsid w:val="00872AF0"/>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872AF0"/>
    <w:rPr>
      <w:sz w:val="20"/>
      <w:szCs w:val="20"/>
    </w:rPr>
  </w:style>
  <w:style w:type="character" w:customStyle="1" w:styleId="DipnotMetniChar">
    <w:name w:val="Dipnot Metni Char"/>
    <w:basedOn w:val="VarsaylanParagrafYazTipi"/>
    <w:link w:val="DipnotMetni"/>
    <w:semiHidden/>
    <w:rsid w:val="00872AF0"/>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unhideWhenUsed/>
    <w:rsid w:val="00872AF0"/>
    <w:rPr>
      <w:rFonts w:ascii="Tahoma" w:hAnsi="Tahoma" w:cs="Tahoma"/>
      <w:sz w:val="16"/>
      <w:szCs w:val="16"/>
    </w:rPr>
  </w:style>
  <w:style w:type="character" w:customStyle="1" w:styleId="BalonMetniChar">
    <w:name w:val="Balon Metni Char"/>
    <w:basedOn w:val="VarsaylanParagrafYazTipi"/>
    <w:link w:val="BalonMetni"/>
    <w:semiHidden/>
    <w:rsid w:val="00872AF0"/>
    <w:rPr>
      <w:rFonts w:ascii="Tahoma" w:eastAsia="Times New Roman" w:hAnsi="Tahoma" w:cs="Tahoma"/>
      <w:sz w:val="16"/>
      <w:szCs w:val="16"/>
      <w:lang w:eastAsia="tr-TR"/>
    </w:rPr>
  </w:style>
  <w:style w:type="character" w:styleId="zlenenKpr">
    <w:name w:val="FollowedHyperlink"/>
    <w:basedOn w:val="VarsaylanParagrafYazTipi"/>
    <w:rsid w:val="00872AF0"/>
    <w:rPr>
      <w:color w:val="800080"/>
      <w:u w:val="single"/>
    </w:rPr>
  </w:style>
  <w:style w:type="character" w:styleId="SayfaNumaras">
    <w:name w:val="page number"/>
    <w:basedOn w:val="VarsaylanParagrafYazTipi"/>
    <w:rsid w:val="00872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ecit.ozaydin\Desktop\WEB\Di&#287;er%20Tebli&#287;ler\G&#252;mr&#252;k%20Genel%20Tebli&#287;i%20(Yetkilendirilmi&#351;%20G&#252;mr&#252;k%20M&#252;&#351;avirli&#287;i)%20Seri%20No%202.do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mecit.ozaydin\Desktop\WEB\Genelgeler\Dan&#305;&#351;tay%202014-9839.doc"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file:///C:\Users\mecit.ozaydin\Desktop\WEB\Genelgeler\Genelge%202014-01%20Antrepolarda%20Memur%20G&#246;revlendirilmesi%20(antrepolara%20e&#351;ya%20giri&#351;i,%20e&#351;ya%20&#231;&#305;k&#305;&#351;&#305;,%20antrepolar&#305;n%20say&#305;m&#305;%20ve%20elle&#231;leme%20faaliyetleri).doc" TargetMode="External"/><Relationship Id="rId4" Type="http://schemas.openxmlformats.org/officeDocument/2006/relationships/webSettings" Target="webSettings.xml"/><Relationship Id="rId9" Type="http://schemas.openxmlformats.org/officeDocument/2006/relationships/hyperlink" Target="file:///C:\Users\mecit.ozaydin\Desktop\WEB\Genelgeler\Genelge%202014-30%20Antrepoya%20e&#351;ya%20al&#305;nmas&#305;%20ve%20antrepodan%20e&#351;ya%20&#231;&#305;kar&#305;lmas&#305;nda%20g&#246;zetim%20memuru%20ve%20YGM%20lerin%20g&#246;revleri.doc"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1910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Mecit ÖZAYDIN</dc:creator>
  <cp:keywords/>
  <dc:description/>
  <cp:lastModifiedBy>Mecit ÖZAYDIN</cp:lastModifiedBy>
  <cp:revision>2</cp:revision>
  <dcterms:created xsi:type="dcterms:W3CDTF">2018-01-12T12:25:00Z</dcterms:created>
  <dcterms:modified xsi:type="dcterms:W3CDTF">2018-01-12T12:25:00Z</dcterms:modified>
</cp:coreProperties>
</file>