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C7" w:rsidRPr="00346E33" w:rsidRDefault="007C76C7" w:rsidP="00346E33">
      <w:pPr>
        <w:pStyle w:val="NormalWeb"/>
        <w:spacing w:before="0" w:beforeAutospacing="0" w:after="0" w:afterAutospacing="0" w:line="345" w:lineRule="atLeast"/>
        <w:jc w:val="center"/>
        <w:textAlignment w:val="top"/>
        <w:rPr>
          <w:rFonts w:ascii="Tahoma" w:hAnsi="Tahoma" w:cs="Tahoma"/>
          <w:color w:val="4F4F4F"/>
          <w:sz w:val="20"/>
          <w:szCs w:val="20"/>
        </w:rPr>
      </w:pPr>
      <w:r w:rsidRPr="00346E33">
        <w:rPr>
          <w:rStyle w:val="Gl"/>
          <w:rFonts w:ascii="Tahoma" w:hAnsi="Tahoma" w:cs="Tahoma"/>
          <w:color w:val="4F4F4F"/>
          <w:sz w:val="20"/>
          <w:szCs w:val="20"/>
          <w:bdr w:val="none" w:sz="0" w:space="0" w:color="auto" w:frame="1"/>
        </w:rPr>
        <w:t>Gümrük Müsteşarlığı Gümrükler Genel Müdürlüğü 2009/75</w:t>
      </w:r>
    </w:p>
    <w:p w:rsidR="00346E33" w:rsidRDefault="00346E33" w:rsidP="007C76C7">
      <w:pPr>
        <w:pStyle w:val="NormalWeb"/>
        <w:spacing w:before="0" w:beforeAutospacing="0" w:after="0" w:afterAutospacing="0" w:line="345" w:lineRule="atLeast"/>
        <w:textAlignment w:val="top"/>
        <w:rPr>
          <w:rStyle w:val="Gl"/>
          <w:rFonts w:ascii="Tahoma" w:hAnsi="Tahoma" w:cs="Tahoma"/>
          <w:color w:val="4F4F4F"/>
          <w:sz w:val="20"/>
          <w:szCs w:val="20"/>
          <w:bdr w:val="none" w:sz="0" w:space="0" w:color="auto" w:frame="1"/>
        </w:rPr>
      </w:pPr>
    </w:p>
    <w:p w:rsidR="007C76C7" w:rsidRPr="00346E33" w:rsidRDefault="007C76C7" w:rsidP="007C76C7">
      <w:pPr>
        <w:pStyle w:val="NormalWeb"/>
        <w:spacing w:before="0" w:beforeAutospacing="0" w:after="0" w:afterAutospacing="0" w:line="345" w:lineRule="atLeast"/>
        <w:textAlignment w:val="top"/>
        <w:rPr>
          <w:rFonts w:ascii="Tahoma" w:hAnsi="Tahoma" w:cs="Tahoma"/>
          <w:color w:val="4F4F4F"/>
          <w:sz w:val="20"/>
          <w:szCs w:val="20"/>
        </w:rPr>
      </w:pPr>
      <w:r w:rsidRPr="00346E33">
        <w:rPr>
          <w:rStyle w:val="Gl"/>
          <w:rFonts w:ascii="Tahoma" w:hAnsi="Tahoma" w:cs="Tahoma"/>
          <w:color w:val="4F4F4F"/>
          <w:sz w:val="20"/>
          <w:szCs w:val="20"/>
          <w:bdr w:val="none" w:sz="0" w:space="0" w:color="auto" w:frame="1"/>
        </w:rPr>
        <w:t>2 -Dâhilde İşleme İzin süresinin başlangıcı ve süre sonu</w:t>
      </w:r>
      <w:r w:rsidRPr="00346E33">
        <w:rPr>
          <w:rFonts w:ascii="Tahoma" w:hAnsi="Tahoma" w:cs="Tahoma"/>
          <w:color w:val="4F4F4F"/>
          <w:sz w:val="20"/>
          <w:szCs w:val="20"/>
        </w:rPr>
        <w:br/>
      </w:r>
      <w:r w:rsidRPr="00346E33">
        <w:rPr>
          <w:rFonts w:ascii="Tahoma" w:hAnsi="Tahoma" w:cs="Tahoma"/>
          <w:color w:val="4F4F4F"/>
          <w:sz w:val="20"/>
          <w:szCs w:val="20"/>
        </w:rPr>
        <w:br/>
      </w:r>
      <w:r w:rsidRPr="00346E33">
        <w:rPr>
          <w:rStyle w:val="Gl"/>
          <w:rFonts w:ascii="Tahoma" w:hAnsi="Tahoma" w:cs="Tahoma"/>
          <w:color w:val="4F4F4F"/>
          <w:sz w:val="20"/>
          <w:szCs w:val="20"/>
          <w:bdr w:val="none" w:sz="0" w:space="0" w:color="auto" w:frame="1"/>
        </w:rPr>
        <w:t>3- Dahilde İşleme İzni ek süre müracaatı ve değerlendirilmesi;</w:t>
      </w:r>
      <w:r w:rsidRPr="00346E33">
        <w:rPr>
          <w:rFonts w:ascii="Tahoma" w:hAnsi="Tahoma" w:cs="Tahoma"/>
          <w:color w:val="4F4F4F"/>
          <w:sz w:val="20"/>
          <w:szCs w:val="20"/>
        </w:rPr>
        <w:br/>
      </w:r>
      <w:r w:rsidRPr="00346E33">
        <w:rPr>
          <w:rFonts w:ascii="Tahoma" w:hAnsi="Tahoma" w:cs="Tahoma"/>
          <w:color w:val="4F4F4F"/>
          <w:sz w:val="20"/>
          <w:szCs w:val="20"/>
        </w:rPr>
        <w:br/>
        <w:t>Ekteki tabloda yer alan işleme faaliyetlerinin verilen süre içinde bitirilmemesi durumunda, 2006/12 sayılı Tebliğin 23 ve 24 üncü maddeleri uyarınca haklı sebebe dayalı olarak ek süre verilmesi mümkün bulunmaktadır. Bu çerçevede, firmanın izin kapsamında gerçekleştirdiği üretim ve işleme faaliyeti veya taahhüt edilen ihracatın tamamını ihmal veya kusur olmaksızın gerçekleştirememesi halinde, izin kapsamında gerçekleşen işleme faaliyeti ve üretimin veya ihracatın, izin ihracat taahhüdüne oranının en az %50’si olduğunun, 1 Seri No.lu Yetkilendirilmiş Gümrük Müşavirleri Gümrük Genel Tebliği hükümleri doğrultusunda izin sahibi firma ile yapılan bir Tespit Sözleşmesi çerçevesinde Yetkilendirilmiş Gümrük Müşavirince düzenlenecek tespit raporunun ilgili gümrük müdürlüğüne sunulması kaydıyla, ilgili izine orijinal izin süresinin yarısı kadar haklı sebebe ilişkin ek süre verilebilir.</w:t>
      </w:r>
      <w:r w:rsidRPr="00346E33">
        <w:rPr>
          <w:rFonts w:ascii="Tahoma" w:hAnsi="Tahoma" w:cs="Tahoma"/>
          <w:color w:val="4F4F4F"/>
          <w:sz w:val="20"/>
          <w:szCs w:val="20"/>
        </w:rPr>
        <w:br/>
      </w:r>
      <w:r w:rsidRPr="00346E33">
        <w:rPr>
          <w:rFonts w:ascii="Tahoma" w:hAnsi="Tahoma" w:cs="Tahoma"/>
          <w:color w:val="4F4F4F"/>
          <w:sz w:val="20"/>
          <w:szCs w:val="20"/>
        </w:rPr>
        <w:br/>
        <w:t>Ek süre müracaatının, 60 Seri No.lu Gümrük Genel Tebliği (Gümrük İşlemleri) ve 1 Seri No.lu Gümrük Genel Tebliği çerçevesinde, izin hak sahibince Yetkilendirilmiş Gümrük Müşavirine düzenlettirilecek tespit raporunun gerekli diğer belgelerle birlikte, en geç izin süresi sonundan itibaren 1 (bir) ay içerisinde izni veren Gümrük Müdürlüğüne yapılmasıyla, bu kapsamda yapılan ek süre talebi, haklı bir sebebe dayanıp dayanmadığı, işleme faaliyetinin izinde belirtilen şekilde devam edip etmediği ve izin kapsamında gerçekleşen işleme faaliyeti ve üretimin veya ihracatın, izin ihracat taahhüdüne oranının en az %50’si olup olmadığı yönünden incelenir ve 15 gün içinde sonuçlandırılarak ilgili firmaya bildirilir. Ek süre verilmesinin uygun bulunması halinde, bu husus Dahilde İşleme İzin Talep Formu ve gümrük beyannamesinin ilgili bölümlerine kaydedilir.</w:t>
      </w:r>
      <w:r w:rsidRPr="00346E33">
        <w:rPr>
          <w:rStyle w:val="apple-converted-space"/>
          <w:rFonts w:ascii="Tahoma" w:hAnsi="Tahoma" w:cs="Tahoma"/>
          <w:color w:val="4F4F4F"/>
          <w:sz w:val="20"/>
          <w:szCs w:val="20"/>
        </w:rPr>
        <w:t> </w:t>
      </w:r>
      <w:r w:rsidRPr="00346E33">
        <w:rPr>
          <w:rFonts w:ascii="Tahoma" w:hAnsi="Tahoma" w:cs="Tahoma"/>
          <w:color w:val="4F4F4F"/>
          <w:sz w:val="20"/>
          <w:szCs w:val="20"/>
        </w:rPr>
        <w:br/>
        <w:t>2009/82 sayılı Gümrük Müsteşarlığı Gümrükler Genel Müdürlüğü Genelgesi</w:t>
      </w:r>
      <w:r w:rsidRPr="00346E33">
        <w:rPr>
          <w:rFonts w:ascii="Tahoma" w:hAnsi="Tahoma" w:cs="Tahoma"/>
          <w:color w:val="4F4F4F"/>
          <w:sz w:val="20"/>
          <w:szCs w:val="20"/>
        </w:rPr>
        <w:br/>
      </w:r>
      <w:r w:rsidRPr="00346E33">
        <w:rPr>
          <w:rFonts w:ascii="Tahoma" w:hAnsi="Tahoma" w:cs="Tahoma"/>
          <w:color w:val="4F4F4F"/>
          <w:sz w:val="20"/>
          <w:szCs w:val="20"/>
        </w:rPr>
        <w:br/>
        <w:t>19.01.2008 tarihli ve 26761 sayılı Resmi Gazetede yayımlanan 60 Seri No.lu Gümrük Genel Tebliği (Gümrük İşlemleri) ve 29.05.2008 tarihli ve 26890 sayılı Resmi Gazetede yayımlanan 1 Seri No.lu Gümrük Genel Tebliği (Yetkilendirilmiş Gümrük Müşavirleri) ile yetkilendirilmiş gümrük müşavirliği sistemine ilişkin usul ve esaslar belirlenmiş olup, söz konusu sistemle ilgili işlemler aşağıda belirtildiği şekilde gerçekleştirilecektir.</w:t>
      </w:r>
    </w:p>
    <w:p w:rsidR="00A033D3" w:rsidRPr="00346E33" w:rsidRDefault="00A033D3" w:rsidP="007C76C7">
      <w:pPr>
        <w:rPr>
          <w:rFonts w:ascii="Tahoma" w:hAnsi="Tahoma" w:cs="Tahoma"/>
        </w:rPr>
      </w:pPr>
    </w:p>
    <w:sectPr w:rsidR="00A033D3" w:rsidRPr="00346E33" w:rsidSect="00EB1C10">
      <w:headerReference w:type="even" r:id="rId6"/>
      <w:headerReference w:type="default" r:id="rId7"/>
      <w:headerReference w:type="first" r:id="rId8"/>
      <w:pgSz w:w="11906" w:h="16838"/>
      <w:pgMar w:top="426" w:right="991"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C9C" w:rsidRDefault="005A3C9C">
      <w:r>
        <w:separator/>
      </w:r>
    </w:p>
  </w:endnote>
  <w:endnote w:type="continuationSeparator" w:id="0">
    <w:p w:rsidR="005A3C9C" w:rsidRDefault="005A3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C9C" w:rsidRDefault="005A3C9C">
      <w:r>
        <w:separator/>
      </w:r>
    </w:p>
  </w:footnote>
  <w:footnote w:type="continuationSeparator" w:id="0">
    <w:p w:rsidR="005A3C9C" w:rsidRDefault="005A3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C576E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65.75pt;height:465.75pt;z-index:-251658752;mso-position-horizontal:center;mso-position-horizontal-relative:margin;mso-position-vertical:center;mso-position-vertical-relative:margin" o:allowincell="f">
          <v:imagedata r:id="rId1" o:title="adsız"/>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C576E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65.75pt;height:465.75pt;z-index:-251657728;mso-position-horizontal:center;mso-position-horizontal-relative:margin;mso-position-vertical:center;mso-position-vertical-relative:margin" o:allowincell="f">
          <v:imagedata r:id="rId1" o:title="adsız"/>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C576E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65.75pt;height:465.75pt;z-index:-251659776;mso-position-horizontal:center;mso-position-horizontal-relative:margin;mso-position-vertical:center;mso-position-vertical-relative:margin" o:allowincell="f">
          <v:imagedata r:id="rId1" o:title="adsız"/>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5A3C9C"/>
    <w:rsid w:val="00026D78"/>
    <w:rsid w:val="000A201F"/>
    <w:rsid w:val="001376CF"/>
    <w:rsid w:val="00223EE7"/>
    <w:rsid w:val="002D57B2"/>
    <w:rsid w:val="002F77AA"/>
    <w:rsid w:val="00346E33"/>
    <w:rsid w:val="00401D8A"/>
    <w:rsid w:val="00433334"/>
    <w:rsid w:val="004F63FA"/>
    <w:rsid w:val="005230F9"/>
    <w:rsid w:val="005A3C9C"/>
    <w:rsid w:val="007310CC"/>
    <w:rsid w:val="007A78EA"/>
    <w:rsid w:val="007C76C7"/>
    <w:rsid w:val="00927768"/>
    <w:rsid w:val="00A033D3"/>
    <w:rsid w:val="00AB05A4"/>
    <w:rsid w:val="00B814C1"/>
    <w:rsid w:val="00BC44C0"/>
    <w:rsid w:val="00C576ED"/>
    <w:rsid w:val="00EB1C10"/>
    <w:rsid w:val="00EC2019"/>
    <w:rsid w:val="00EE208C"/>
    <w:rsid w:val="00F77447"/>
    <w:rsid w:val="00FA1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3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814C1"/>
    <w:pPr>
      <w:tabs>
        <w:tab w:val="center" w:pos="4536"/>
        <w:tab w:val="right" w:pos="9072"/>
      </w:tabs>
    </w:pPr>
    <w:rPr>
      <w:rFonts w:ascii="Times New Roman" w:hAnsi="Times New Roman" w:cs="Times New Roman"/>
    </w:rPr>
  </w:style>
  <w:style w:type="paragraph" w:styleId="Altbilgi">
    <w:name w:val="footer"/>
    <w:basedOn w:val="Normal"/>
    <w:rsid w:val="00B814C1"/>
    <w:pPr>
      <w:tabs>
        <w:tab w:val="center" w:pos="4536"/>
        <w:tab w:val="right" w:pos="9072"/>
      </w:tabs>
    </w:pPr>
    <w:rPr>
      <w:rFonts w:ascii="Times New Roman" w:hAnsi="Times New Roman" w:cs="Times New Roman"/>
    </w:rPr>
  </w:style>
  <w:style w:type="paragraph" w:styleId="NormalWeb">
    <w:name w:val="Normal (Web)"/>
    <w:basedOn w:val="Normal"/>
    <w:uiPriority w:val="99"/>
    <w:unhideWhenUsed/>
    <w:rsid w:val="00EB1C10"/>
    <w:pPr>
      <w:spacing w:before="100" w:beforeAutospacing="1" w:after="100" w:afterAutospacing="1"/>
    </w:pPr>
    <w:rPr>
      <w:rFonts w:ascii="Times New Roman" w:hAnsi="Times New Roman" w:cs="Times New Roman"/>
    </w:rPr>
  </w:style>
  <w:style w:type="paragraph" w:customStyle="1" w:styleId="1-baslk">
    <w:name w:val="1-baslk"/>
    <w:basedOn w:val="Normal"/>
    <w:rsid w:val="00EB1C10"/>
    <w:pPr>
      <w:spacing w:before="100" w:beforeAutospacing="1" w:after="100" w:afterAutospacing="1"/>
    </w:pPr>
    <w:rPr>
      <w:rFonts w:ascii="Times New Roman" w:hAnsi="Times New Roman" w:cs="Times New Roman"/>
    </w:rPr>
  </w:style>
  <w:style w:type="paragraph" w:customStyle="1" w:styleId="2-ortabaslk">
    <w:name w:val="2-ortabaslk"/>
    <w:basedOn w:val="Normal"/>
    <w:rsid w:val="00EB1C10"/>
    <w:pPr>
      <w:spacing w:before="100" w:beforeAutospacing="1" w:after="100" w:afterAutospacing="1"/>
    </w:pPr>
    <w:rPr>
      <w:rFonts w:ascii="Times New Roman" w:hAnsi="Times New Roman" w:cs="Times New Roman"/>
    </w:rPr>
  </w:style>
  <w:style w:type="paragraph" w:customStyle="1" w:styleId="3-normalyaz">
    <w:name w:val="3-normalyaz"/>
    <w:basedOn w:val="Normal"/>
    <w:rsid w:val="00EB1C10"/>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B1C10"/>
  </w:style>
  <w:style w:type="paragraph" w:customStyle="1" w:styleId="GvdeMetni21">
    <w:name w:val="Gövde Metni 21"/>
    <w:basedOn w:val="Normal"/>
    <w:rsid w:val="00433334"/>
    <w:pPr>
      <w:tabs>
        <w:tab w:val="left" w:pos="284"/>
      </w:tabs>
      <w:jc w:val="both"/>
    </w:pPr>
    <w:rPr>
      <w:rFonts w:ascii="Times New Roman" w:hAnsi="Times New Roman" w:cs="Times New Roman"/>
      <w:szCs w:val="20"/>
    </w:rPr>
  </w:style>
  <w:style w:type="character" w:styleId="Gl">
    <w:name w:val="Strong"/>
    <w:basedOn w:val="VarsaylanParagrafYazTipi"/>
    <w:uiPriority w:val="22"/>
    <w:qFormat/>
    <w:rsid w:val="001376CF"/>
    <w:rPr>
      <w:b/>
      <w:bCs/>
    </w:rPr>
  </w:style>
  <w:style w:type="character" w:styleId="Kpr">
    <w:name w:val="Hyperlink"/>
    <w:basedOn w:val="VarsaylanParagrafYazTipi"/>
    <w:uiPriority w:val="99"/>
    <w:unhideWhenUsed/>
    <w:rsid w:val="001376CF"/>
    <w:rPr>
      <w:color w:val="0000FF"/>
      <w:u w:val="single"/>
    </w:rPr>
  </w:style>
</w:styles>
</file>

<file path=word/webSettings.xml><?xml version="1.0" encoding="utf-8"?>
<w:webSettings xmlns:r="http://schemas.openxmlformats.org/officeDocument/2006/relationships" xmlns:w="http://schemas.openxmlformats.org/wordprocessingml/2006/main">
  <w:divs>
    <w:div w:id="314798087">
      <w:bodyDiv w:val="1"/>
      <w:marLeft w:val="0"/>
      <w:marRight w:val="0"/>
      <w:marTop w:val="0"/>
      <w:marBottom w:val="0"/>
      <w:divBdr>
        <w:top w:val="none" w:sz="0" w:space="0" w:color="auto"/>
        <w:left w:val="none" w:sz="0" w:space="0" w:color="auto"/>
        <w:bottom w:val="none" w:sz="0" w:space="0" w:color="auto"/>
        <w:right w:val="none" w:sz="0" w:space="0" w:color="auto"/>
      </w:divBdr>
    </w:div>
    <w:div w:id="1001394933">
      <w:bodyDiv w:val="1"/>
      <w:marLeft w:val="0"/>
      <w:marRight w:val="0"/>
      <w:marTop w:val="0"/>
      <w:marBottom w:val="0"/>
      <w:divBdr>
        <w:top w:val="none" w:sz="0" w:space="0" w:color="auto"/>
        <w:left w:val="none" w:sz="0" w:space="0" w:color="auto"/>
        <w:bottom w:val="none" w:sz="0" w:space="0" w:color="auto"/>
        <w:right w:val="none" w:sz="0" w:space="0" w:color="auto"/>
      </w:divBdr>
    </w:div>
    <w:div w:id="15468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R-PC\Desktop\WEB%20ANTETL&#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 ANTETLİ</Template>
  <TotalTime>0</TotalTime>
  <Pages>1</Pages>
  <Words>361</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Güler Şirketler Grubu</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GLR-PC</dc:creator>
  <cp:lastModifiedBy>GLR-PC</cp:lastModifiedBy>
  <cp:revision>1</cp:revision>
  <dcterms:created xsi:type="dcterms:W3CDTF">2011-06-29T10:32:00Z</dcterms:created>
  <dcterms:modified xsi:type="dcterms:W3CDTF">2011-06-29T10:32:00Z</dcterms:modified>
</cp:coreProperties>
</file>