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8B" w:rsidRPr="001143DF" w:rsidRDefault="00EE6B8B" w:rsidP="00EE6B8B">
      <w:pPr>
        <w:jc w:val="center"/>
        <w:rPr>
          <w:b/>
          <w:sz w:val="22"/>
          <w:szCs w:val="22"/>
        </w:rPr>
      </w:pPr>
      <w:r w:rsidRPr="001143DF">
        <w:rPr>
          <w:b/>
          <w:sz w:val="22"/>
          <w:szCs w:val="22"/>
        </w:rPr>
        <w:t>T.C.</w:t>
      </w:r>
    </w:p>
    <w:p w:rsidR="00EE6B8B" w:rsidRPr="001143DF" w:rsidRDefault="00EE6B8B" w:rsidP="00EE6B8B">
      <w:pPr>
        <w:jc w:val="center"/>
        <w:rPr>
          <w:b/>
          <w:sz w:val="22"/>
          <w:szCs w:val="22"/>
        </w:rPr>
      </w:pPr>
      <w:r w:rsidRPr="001143DF">
        <w:rPr>
          <w:b/>
          <w:sz w:val="22"/>
          <w:szCs w:val="22"/>
        </w:rPr>
        <w:t>GÜMRÜK VE TİCARET BAKANLIĞI</w:t>
      </w:r>
    </w:p>
    <w:p w:rsidR="00EE6B8B" w:rsidRPr="001143DF" w:rsidRDefault="00EE6B8B" w:rsidP="00EE6B8B">
      <w:pPr>
        <w:jc w:val="center"/>
        <w:rPr>
          <w:b/>
          <w:sz w:val="22"/>
          <w:szCs w:val="22"/>
        </w:rPr>
      </w:pPr>
      <w:r w:rsidRPr="001143DF">
        <w:rPr>
          <w:b/>
          <w:sz w:val="22"/>
          <w:szCs w:val="22"/>
        </w:rPr>
        <w:t>Gümrükler Genel Müdürlüğü</w:t>
      </w:r>
    </w:p>
    <w:p w:rsidR="00EE6B8B" w:rsidRPr="001143DF" w:rsidRDefault="00EE6B8B" w:rsidP="00EE6B8B">
      <w:pPr>
        <w:spacing w:before="120"/>
        <w:rPr>
          <w:sz w:val="22"/>
          <w:szCs w:val="22"/>
        </w:rPr>
      </w:pPr>
      <w:r w:rsidRPr="001143DF">
        <w:rPr>
          <w:b/>
          <w:sz w:val="22"/>
          <w:szCs w:val="22"/>
        </w:rPr>
        <w:t>Sayı</w:t>
      </w:r>
      <w:r w:rsidRPr="001143DF">
        <w:rPr>
          <w:b/>
          <w:sz w:val="22"/>
          <w:szCs w:val="22"/>
        </w:rPr>
        <w:tab/>
        <w:t>:</w:t>
      </w:r>
      <w:r w:rsidRPr="001143DF">
        <w:rPr>
          <w:sz w:val="22"/>
          <w:szCs w:val="22"/>
        </w:rPr>
        <w:t>12765636/010.06</w:t>
      </w:r>
      <w:r w:rsidRPr="001143DF">
        <w:rPr>
          <w:sz w:val="22"/>
          <w:szCs w:val="22"/>
        </w:rPr>
        <w:tab/>
      </w:r>
      <w:r w:rsidRPr="001143DF">
        <w:rPr>
          <w:sz w:val="22"/>
          <w:szCs w:val="22"/>
        </w:rPr>
        <w:tab/>
      </w:r>
      <w:r w:rsidRPr="001143DF">
        <w:rPr>
          <w:sz w:val="22"/>
          <w:szCs w:val="22"/>
        </w:rPr>
        <w:tab/>
      </w:r>
      <w:r w:rsidRPr="001143DF">
        <w:rPr>
          <w:sz w:val="22"/>
          <w:szCs w:val="22"/>
        </w:rPr>
        <w:tab/>
      </w:r>
      <w:r w:rsidRPr="001143DF">
        <w:rPr>
          <w:sz w:val="22"/>
          <w:szCs w:val="22"/>
        </w:rPr>
        <w:tab/>
      </w:r>
      <w:r w:rsidRPr="001143DF">
        <w:rPr>
          <w:sz w:val="22"/>
          <w:szCs w:val="22"/>
        </w:rPr>
        <w:tab/>
      </w:r>
      <w:r w:rsidRPr="001143DF">
        <w:rPr>
          <w:sz w:val="22"/>
          <w:szCs w:val="22"/>
        </w:rPr>
        <w:tab/>
      </w:r>
      <w:r w:rsidRPr="001143DF">
        <w:rPr>
          <w:sz w:val="22"/>
          <w:szCs w:val="22"/>
        </w:rPr>
        <w:tab/>
        <w:t>30.12.2014</w:t>
      </w:r>
    </w:p>
    <w:p w:rsidR="00EE6B8B" w:rsidRPr="001143DF" w:rsidRDefault="00EE6B8B" w:rsidP="00EE6B8B">
      <w:pPr>
        <w:spacing w:before="120"/>
        <w:rPr>
          <w:sz w:val="22"/>
          <w:szCs w:val="22"/>
        </w:rPr>
      </w:pPr>
      <w:r w:rsidRPr="001143DF">
        <w:rPr>
          <w:b/>
          <w:sz w:val="22"/>
          <w:szCs w:val="22"/>
        </w:rPr>
        <w:t>Konu</w:t>
      </w:r>
      <w:r w:rsidRPr="001143DF">
        <w:rPr>
          <w:b/>
          <w:sz w:val="22"/>
          <w:szCs w:val="22"/>
        </w:rPr>
        <w:tab/>
        <w:t>:</w:t>
      </w:r>
      <w:r w:rsidRPr="001143DF">
        <w:rPr>
          <w:sz w:val="22"/>
          <w:szCs w:val="22"/>
        </w:rPr>
        <w:t xml:space="preserve">Yetkilendirilmiş Gümrük </w:t>
      </w:r>
    </w:p>
    <w:p w:rsidR="00EE6B8B" w:rsidRPr="001143DF" w:rsidRDefault="00EE6B8B" w:rsidP="00EE6B8B">
      <w:pPr>
        <w:spacing w:before="120"/>
        <w:ind w:firstLine="708"/>
        <w:rPr>
          <w:sz w:val="22"/>
          <w:szCs w:val="22"/>
        </w:rPr>
      </w:pPr>
      <w:r w:rsidRPr="001143DF">
        <w:rPr>
          <w:sz w:val="22"/>
          <w:szCs w:val="22"/>
        </w:rPr>
        <w:t xml:space="preserve"> Müşavirliği Ücret Tarifesi</w:t>
      </w:r>
    </w:p>
    <w:p w:rsidR="00EE6B8B" w:rsidRPr="001143DF" w:rsidRDefault="00EE6B8B" w:rsidP="00EE6B8B">
      <w:pPr>
        <w:spacing w:before="120"/>
        <w:rPr>
          <w:sz w:val="22"/>
          <w:szCs w:val="22"/>
        </w:rPr>
      </w:pPr>
    </w:p>
    <w:p w:rsidR="00EE6B8B" w:rsidRPr="001143DF" w:rsidRDefault="00EE6B8B" w:rsidP="00EE6B8B">
      <w:pPr>
        <w:spacing w:before="120"/>
        <w:rPr>
          <w:sz w:val="22"/>
          <w:szCs w:val="22"/>
        </w:rPr>
      </w:pPr>
    </w:p>
    <w:p w:rsidR="00EE6B8B" w:rsidRPr="001143DF" w:rsidRDefault="00EE6B8B" w:rsidP="00EE6B8B">
      <w:pPr>
        <w:spacing w:before="120"/>
        <w:jc w:val="center"/>
        <w:rPr>
          <w:b/>
          <w:sz w:val="22"/>
          <w:szCs w:val="22"/>
        </w:rPr>
      </w:pPr>
      <w:r w:rsidRPr="001143DF">
        <w:rPr>
          <w:b/>
          <w:sz w:val="22"/>
          <w:szCs w:val="22"/>
        </w:rPr>
        <w:t>GENELGE</w:t>
      </w:r>
      <w:bookmarkStart w:id="0" w:name="_GoBack"/>
      <w:bookmarkEnd w:id="0"/>
    </w:p>
    <w:p w:rsidR="00EE6B8B" w:rsidRPr="001143DF" w:rsidRDefault="00EE6B8B" w:rsidP="00EE6B8B">
      <w:pPr>
        <w:spacing w:before="120"/>
        <w:jc w:val="center"/>
        <w:rPr>
          <w:b/>
          <w:sz w:val="22"/>
          <w:szCs w:val="22"/>
        </w:rPr>
      </w:pPr>
      <w:r w:rsidRPr="001143DF">
        <w:rPr>
          <w:b/>
          <w:sz w:val="22"/>
          <w:szCs w:val="22"/>
        </w:rPr>
        <w:t>2014/32</w:t>
      </w:r>
    </w:p>
    <w:p w:rsidR="00EE6B8B" w:rsidRPr="001143DF" w:rsidRDefault="00EE6B8B" w:rsidP="00EE6B8B">
      <w:pPr>
        <w:spacing w:before="120"/>
        <w:rPr>
          <w:sz w:val="22"/>
          <w:szCs w:val="22"/>
        </w:rPr>
      </w:pPr>
    </w:p>
    <w:p w:rsidR="00EE6B8B" w:rsidRPr="001143DF" w:rsidRDefault="00EE6B8B" w:rsidP="00EE6B8B">
      <w:pPr>
        <w:spacing w:before="120"/>
        <w:rPr>
          <w:sz w:val="22"/>
          <w:szCs w:val="22"/>
        </w:rPr>
      </w:pPr>
    </w:p>
    <w:p w:rsidR="00EE6B8B" w:rsidRPr="001143DF" w:rsidRDefault="00EE6B8B" w:rsidP="00EE6B8B">
      <w:pPr>
        <w:spacing w:before="120"/>
        <w:ind w:firstLine="709"/>
        <w:rPr>
          <w:sz w:val="22"/>
          <w:szCs w:val="22"/>
        </w:rPr>
      </w:pPr>
      <w:r w:rsidRPr="001143DF">
        <w:rPr>
          <w:sz w:val="22"/>
          <w:szCs w:val="22"/>
        </w:rPr>
        <w:t xml:space="preserve">4458 sayılı Gümrük Kanununun Geçici 6 </w:t>
      </w:r>
      <w:proofErr w:type="spellStart"/>
      <w:r w:rsidRPr="001143DF">
        <w:rPr>
          <w:sz w:val="22"/>
          <w:szCs w:val="22"/>
        </w:rPr>
        <w:t>nci</w:t>
      </w:r>
      <w:proofErr w:type="spellEnd"/>
      <w:r w:rsidRPr="001143DF">
        <w:rPr>
          <w:sz w:val="22"/>
          <w:szCs w:val="22"/>
        </w:rPr>
        <w:t xml:space="preserve"> maddesinin </w:t>
      </w:r>
      <w:hyperlink r:id="rId6" w:anchor="GeçiciMadde6_9" w:history="1">
        <w:r w:rsidRPr="00E338CA">
          <w:rPr>
            <w:rStyle w:val="Kpr"/>
            <w:sz w:val="22"/>
            <w:szCs w:val="22"/>
          </w:rPr>
          <w:t>10 uncu</w:t>
        </w:r>
      </w:hyperlink>
      <w:r w:rsidRPr="001143DF">
        <w:rPr>
          <w:sz w:val="22"/>
          <w:szCs w:val="22"/>
        </w:rPr>
        <w:t xml:space="preserve"> fıkrası uyarınca uygun bulunan 2015 yılı “Yetkilendirilmiş Gümrük Müşavirliği Asgari Ücret Tarifesi” ekte yer almaktadır.</w:t>
      </w:r>
    </w:p>
    <w:p w:rsidR="00EE6B8B" w:rsidRPr="001143DF" w:rsidRDefault="00EE6B8B" w:rsidP="00EE6B8B">
      <w:pPr>
        <w:spacing w:before="120"/>
        <w:ind w:firstLine="709"/>
        <w:rPr>
          <w:sz w:val="22"/>
          <w:szCs w:val="22"/>
        </w:rPr>
      </w:pPr>
      <w:r w:rsidRPr="001143DF">
        <w:rPr>
          <w:sz w:val="22"/>
          <w:szCs w:val="22"/>
        </w:rPr>
        <w:t>Bilgi ve gereğini rica ederim.</w:t>
      </w:r>
    </w:p>
    <w:p w:rsidR="00EE6B8B" w:rsidRPr="001143DF" w:rsidRDefault="00EE6B8B" w:rsidP="00EE6B8B">
      <w:pPr>
        <w:spacing w:before="120"/>
        <w:ind w:firstLine="709"/>
        <w:rPr>
          <w:sz w:val="22"/>
          <w:szCs w:val="22"/>
        </w:rPr>
      </w:pPr>
    </w:p>
    <w:p w:rsidR="00EE6B8B" w:rsidRPr="001143DF" w:rsidRDefault="00EE6B8B" w:rsidP="00EE6B8B">
      <w:pPr>
        <w:jc w:val="right"/>
        <w:rPr>
          <w:sz w:val="22"/>
          <w:szCs w:val="22"/>
        </w:rPr>
      </w:pPr>
    </w:p>
    <w:p w:rsidR="00EE6B8B" w:rsidRPr="001143DF" w:rsidRDefault="00EE6B8B" w:rsidP="00EE6B8B">
      <w:pPr>
        <w:jc w:val="right"/>
        <w:rPr>
          <w:sz w:val="22"/>
          <w:szCs w:val="22"/>
        </w:rPr>
      </w:pPr>
      <w:r w:rsidRPr="001143DF">
        <w:rPr>
          <w:sz w:val="22"/>
          <w:szCs w:val="22"/>
        </w:rPr>
        <w:t>Ziya ALTUNYALDIZ</w:t>
      </w:r>
    </w:p>
    <w:p w:rsidR="00EE6B8B" w:rsidRPr="001143DF" w:rsidRDefault="00EE6B8B" w:rsidP="00EE6B8B">
      <w:pPr>
        <w:jc w:val="right"/>
        <w:rPr>
          <w:sz w:val="22"/>
          <w:szCs w:val="22"/>
        </w:rPr>
      </w:pPr>
      <w:r w:rsidRPr="001143DF">
        <w:rPr>
          <w:sz w:val="22"/>
          <w:szCs w:val="22"/>
        </w:rPr>
        <w:t>BAKAN A.</w:t>
      </w:r>
    </w:p>
    <w:p w:rsidR="00EE6B8B" w:rsidRPr="001143DF" w:rsidRDefault="00EE6B8B" w:rsidP="00EE6B8B">
      <w:pPr>
        <w:jc w:val="right"/>
        <w:rPr>
          <w:sz w:val="22"/>
          <w:szCs w:val="22"/>
        </w:rPr>
      </w:pPr>
      <w:r w:rsidRPr="001143DF">
        <w:rPr>
          <w:sz w:val="22"/>
          <w:szCs w:val="22"/>
        </w:rPr>
        <w:t>MÜSTEŞAR</w:t>
      </w:r>
    </w:p>
    <w:p w:rsidR="00EE6B8B" w:rsidRDefault="00EE6B8B" w:rsidP="00EE6B8B">
      <w:pPr>
        <w:jc w:val="right"/>
        <w:rPr>
          <w:sz w:val="22"/>
          <w:szCs w:val="22"/>
        </w:rPr>
      </w:pPr>
    </w:p>
    <w:p w:rsidR="00EE6B8B" w:rsidRPr="001143DF" w:rsidRDefault="00EE6B8B" w:rsidP="00EE6B8B">
      <w:pPr>
        <w:rPr>
          <w:sz w:val="22"/>
          <w:szCs w:val="22"/>
        </w:rPr>
      </w:pPr>
    </w:p>
    <w:p w:rsidR="00EE6B8B" w:rsidRDefault="00EE6B8B" w:rsidP="00EE6B8B">
      <w:pPr>
        <w:rPr>
          <w:sz w:val="22"/>
          <w:szCs w:val="22"/>
        </w:rPr>
      </w:pPr>
    </w:p>
    <w:p w:rsidR="00EE6B8B" w:rsidRPr="001143DF" w:rsidRDefault="00EE6B8B" w:rsidP="00EE6B8B">
      <w:pPr>
        <w:rPr>
          <w:b/>
          <w:sz w:val="22"/>
          <w:szCs w:val="22"/>
        </w:rPr>
      </w:pPr>
      <w:r w:rsidRPr="001143DF">
        <w:rPr>
          <w:b/>
          <w:sz w:val="22"/>
          <w:szCs w:val="22"/>
        </w:rPr>
        <w:t>Ek:</w:t>
      </w:r>
    </w:p>
    <w:p w:rsidR="00EE6B8B" w:rsidRDefault="00EE6B8B" w:rsidP="00EE6B8B">
      <w:pPr>
        <w:rPr>
          <w:sz w:val="22"/>
          <w:szCs w:val="22"/>
        </w:rPr>
      </w:pPr>
      <w:r>
        <w:rPr>
          <w:sz w:val="22"/>
          <w:szCs w:val="22"/>
        </w:rPr>
        <w:t>Yetkilendirilmiş Gümrük Müşavirliği Asgari Ücret Tarifesi</w:t>
      </w:r>
    </w:p>
    <w:p w:rsidR="00EE6B8B" w:rsidRPr="0078435C" w:rsidRDefault="00EE6B8B" w:rsidP="00EE6B8B">
      <w:pPr>
        <w:rPr>
          <w:sz w:val="22"/>
          <w:szCs w:val="22"/>
        </w:rPr>
      </w:pPr>
    </w:p>
    <w:p w:rsidR="00EE6B8B" w:rsidRPr="0078435C" w:rsidRDefault="00EE6B8B" w:rsidP="00EE6B8B">
      <w:pPr>
        <w:rPr>
          <w:sz w:val="22"/>
          <w:szCs w:val="22"/>
        </w:rPr>
      </w:pPr>
    </w:p>
    <w:p w:rsidR="00EE6B8B" w:rsidRPr="0078435C" w:rsidRDefault="00EE6B8B" w:rsidP="00EE6B8B">
      <w:pPr>
        <w:rPr>
          <w:sz w:val="22"/>
          <w:szCs w:val="22"/>
        </w:rPr>
      </w:pPr>
    </w:p>
    <w:p w:rsidR="00EE6B8B" w:rsidRDefault="00EE6B8B" w:rsidP="00EE6B8B">
      <w:pPr>
        <w:pageBreakBefore/>
        <w:rPr>
          <w:sz w:val="22"/>
          <w:szCs w:val="22"/>
        </w:rPr>
      </w:pPr>
    </w:p>
    <w:tbl>
      <w:tblPr>
        <w:tblW w:w="9815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4678"/>
        <w:gridCol w:w="3292"/>
      </w:tblGrid>
      <w:tr w:rsidR="00EE6B8B" w:rsidRPr="0022782D" w:rsidTr="00450202">
        <w:trPr>
          <w:trHeight w:val="20"/>
          <w:tblHeader/>
          <w:jc w:val="center"/>
        </w:trPr>
        <w:tc>
          <w:tcPr>
            <w:tcW w:w="9815" w:type="dxa"/>
            <w:gridSpan w:val="3"/>
            <w:shd w:val="clear" w:color="auto" w:fill="E6E6E6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YETKİLENDİRİLMİŞ GÜMRÜK MÜŞAVİRLİĞİ ASGARİ ÜCRET TARİFESİ 2015</w:t>
            </w:r>
          </w:p>
        </w:tc>
      </w:tr>
      <w:tr w:rsidR="00EE6B8B" w:rsidRPr="0022782D" w:rsidTr="00450202">
        <w:trPr>
          <w:trHeight w:val="20"/>
          <w:tblHeader/>
          <w:jc w:val="center"/>
        </w:trPr>
        <w:tc>
          <w:tcPr>
            <w:tcW w:w="1845" w:type="dxa"/>
            <w:shd w:val="clear" w:color="auto" w:fill="E6E6E6"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TESPİT KODU</w:t>
            </w:r>
          </w:p>
        </w:tc>
        <w:tc>
          <w:tcPr>
            <w:tcW w:w="4678" w:type="dxa"/>
            <w:shd w:val="clear" w:color="auto" w:fill="E6E6E6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TESPİT KONUSU</w:t>
            </w:r>
          </w:p>
        </w:tc>
        <w:tc>
          <w:tcPr>
            <w:tcW w:w="3292" w:type="dxa"/>
            <w:shd w:val="clear" w:color="auto" w:fill="E6E6E6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2015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AN1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Genel Antrepo (A, B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13.500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Özel Antrepo ( C, D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10.000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Özel Antrepo ( E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20.000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AN2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Genel Antrepo (A, B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6.500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Özel Antrepo ( C, D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5.400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Özel Antrepo ( E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10.000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AN3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Genel Antrepo (A, B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6.500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Özel Antrepo ( C, D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5.400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Özel Antrepo ( E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10.000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AN4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Genel Antrepo (A, B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6.500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Özel Antrepo ( C, D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5.400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Özel Antrepo ( E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10.000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22782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AN5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Genel Antrepo (A, B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6.500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Özel Antrepo ( C, D Tipi),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5.400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AN6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0-3000 m2/m3 olanlar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4.480 TL (aylık)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3001m2/m3 - 5000 m2/m3 arasında olanlar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6.850 TL (aylık)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5001 m2/m3 - 10.000 m2/m3 arasında olanlar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9.900 TL (aylık)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10.001 m2/m3 ve üstünde olanlar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13.700 TL (aylık)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Gümrük Yönetmeliğinin 181 inci maddesinin beşinci fıkrası kapsamına giren eşyanın gümrük gözetiminin sonlandırılmasının tespit işlemleri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 xml:space="preserve">Her bir beyanname </w:t>
            </w:r>
            <w:proofErr w:type="gramStart"/>
            <w:r w:rsidRPr="0022782D">
              <w:rPr>
                <w:b/>
                <w:bCs/>
                <w:sz w:val="22"/>
                <w:szCs w:val="22"/>
              </w:rPr>
              <w:t>için   14</w:t>
            </w:r>
            <w:proofErr w:type="gramEnd"/>
            <w:r w:rsidRPr="0022782D">
              <w:rPr>
                <w:b/>
                <w:bCs/>
                <w:sz w:val="22"/>
                <w:szCs w:val="22"/>
              </w:rPr>
              <w:t xml:space="preserve">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AN7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Genel Antrepo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13.700 TL (Yıllık)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Özel Antrepo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6.850 TL (Yıllık)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AN8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0-3000 m2/m3 olanlar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4.700 TL (aylık)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3001m2/m3 - 5000 m2/m3 arasında olanlar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7.450 TL (aylık)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5001 m2/m3 - 10.000 m2/m3 arasında olanlar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11.000 TL (aylık)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10.001 m2/m3 ve üstünde olanlar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14.900 TL (aylık)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Gümrük Yönetmeliğinin 181 inci maddesinin beşinci fıkrası kapsamına giren eşyanın gümrük gözetiminin sonlandırılmasının tespit işlemleri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Her bir beyanname için 14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AN9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Tespit Sözleşmesi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680 TL (yıllık)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 xml:space="preserve">Antrepo içerisinde yapılan </w:t>
            </w:r>
            <w:proofErr w:type="spellStart"/>
            <w:r w:rsidRPr="0022782D">
              <w:rPr>
                <w:sz w:val="22"/>
                <w:szCs w:val="22"/>
              </w:rPr>
              <w:t>elleçleme</w:t>
            </w:r>
            <w:proofErr w:type="spellEnd"/>
            <w:r w:rsidRPr="0022782D">
              <w:rPr>
                <w:sz w:val="22"/>
                <w:szCs w:val="22"/>
              </w:rPr>
              <w:t xml:space="preserve"> işlemine ilişkin olarak düzenlenecek her bir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65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 xml:space="preserve">Antrepo dışında yapılacak </w:t>
            </w:r>
            <w:proofErr w:type="spellStart"/>
            <w:r w:rsidRPr="0022782D">
              <w:rPr>
                <w:sz w:val="22"/>
                <w:szCs w:val="22"/>
              </w:rPr>
              <w:t>elleçleme</w:t>
            </w:r>
            <w:proofErr w:type="spellEnd"/>
            <w:r w:rsidRPr="0022782D">
              <w:rPr>
                <w:sz w:val="22"/>
                <w:szCs w:val="22"/>
              </w:rPr>
              <w:t xml:space="preserve"> faaliyetleri için düzenlenecek her bir 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140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 xml:space="preserve">Antrepo dışında yapılan </w:t>
            </w:r>
            <w:proofErr w:type="spellStart"/>
            <w:r w:rsidRPr="0022782D">
              <w:rPr>
                <w:sz w:val="22"/>
                <w:szCs w:val="22"/>
              </w:rPr>
              <w:t>elleçleme</w:t>
            </w:r>
            <w:proofErr w:type="spellEnd"/>
            <w:r w:rsidRPr="0022782D">
              <w:rPr>
                <w:sz w:val="22"/>
                <w:szCs w:val="22"/>
              </w:rPr>
              <w:t xml:space="preserve"> faaliyetlerinde </w:t>
            </w:r>
            <w:proofErr w:type="spellStart"/>
            <w:r w:rsidRPr="0022782D">
              <w:rPr>
                <w:sz w:val="22"/>
                <w:szCs w:val="22"/>
              </w:rPr>
              <w:t>elleçleme</w:t>
            </w:r>
            <w:proofErr w:type="spellEnd"/>
            <w:r w:rsidRPr="0022782D">
              <w:rPr>
                <w:sz w:val="22"/>
                <w:szCs w:val="22"/>
              </w:rPr>
              <w:t xml:space="preserve"> işleminin tamamlanmadığı durumlarda aylık </w:t>
            </w:r>
            <w:proofErr w:type="gramStart"/>
            <w:r w:rsidRPr="0022782D">
              <w:rPr>
                <w:sz w:val="22"/>
                <w:szCs w:val="22"/>
              </w:rPr>
              <w:t>bazda</w:t>
            </w:r>
            <w:proofErr w:type="gramEnd"/>
            <w:r w:rsidRPr="0022782D">
              <w:rPr>
                <w:sz w:val="22"/>
                <w:szCs w:val="22"/>
              </w:rPr>
              <w:t xml:space="preserve"> düzenlenecek her bir tutanak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Tespit raporları için ödenecek ücretlerin aylık 6.200 TL'yi aştığı durumlarda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Tarafların anlaşmasıyla belirlenecek tutar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GC1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Tespit Raporu Başına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 xml:space="preserve">650 TL'den az olmamak üzere 65.000 TL'ye kadar CIF kıymetin yüzde 2'si, 65.000 TL'yi aşan izinlerde ise aşan kısma ait CIF kıymetin </w:t>
            </w:r>
            <w:proofErr w:type="spellStart"/>
            <w:r w:rsidRPr="0022782D">
              <w:rPr>
                <w:b/>
                <w:bCs/>
                <w:sz w:val="22"/>
                <w:szCs w:val="22"/>
              </w:rPr>
              <w:t>onbinde</w:t>
            </w:r>
            <w:proofErr w:type="spellEnd"/>
            <w:r w:rsidRPr="0022782D">
              <w:rPr>
                <w:b/>
                <w:bCs/>
                <w:sz w:val="22"/>
                <w:szCs w:val="22"/>
              </w:rPr>
              <w:t xml:space="preserve"> 1'i, toplam ücretin 6.800 TL'yi geçmesi durumunda tarafların anlaşmasıyla belirlenecek tutar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NK1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Tespit Raporu Başına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 xml:space="preserve">Her bir ay </w:t>
            </w:r>
            <w:proofErr w:type="spellStart"/>
            <w:r w:rsidRPr="0022782D">
              <w:rPr>
                <w:b/>
                <w:bCs/>
                <w:sz w:val="22"/>
                <w:szCs w:val="22"/>
              </w:rPr>
              <w:t>itibariyla</w:t>
            </w:r>
            <w:proofErr w:type="spellEnd"/>
            <w:r w:rsidRPr="0022782D">
              <w:rPr>
                <w:b/>
                <w:bCs/>
                <w:sz w:val="22"/>
                <w:szCs w:val="22"/>
              </w:rPr>
              <w:t xml:space="preserve"> düzenlenecek olan ilk rapor için 1.900 TL olmak üzere, sonraki her bir rapor için 650 TL</w:t>
            </w:r>
            <w:proofErr w:type="gramStart"/>
            <w:r w:rsidRPr="0022782D">
              <w:rPr>
                <w:b/>
                <w:bCs/>
                <w:sz w:val="22"/>
                <w:szCs w:val="22"/>
              </w:rPr>
              <w:t>.,</w:t>
            </w:r>
            <w:proofErr w:type="gramEnd"/>
            <w:r w:rsidRPr="0022782D">
              <w:rPr>
                <w:b/>
                <w:bCs/>
                <w:sz w:val="22"/>
                <w:szCs w:val="22"/>
              </w:rPr>
              <w:t xml:space="preserve"> ay içerisinde düzenlenen rapor sayısının beş adedi aşması halinde bu hesaplama yöntemiyle elde edilecek tutar.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DR1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 xml:space="preserve">1.350 TL'den az olmamak üzere CIF kıymetin </w:t>
            </w:r>
            <w:proofErr w:type="spellStart"/>
            <w:r w:rsidRPr="0022782D">
              <w:rPr>
                <w:b/>
                <w:bCs/>
                <w:sz w:val="22"/>
                <w:szCs w:val="22"/>
              </w:rPr>
              <w:t>onbinde</w:t>
            </w:r>
            <w:proofErr w:type="spellEnd"/>
            <w:r w:rsidRPr="0022782D">
              <w:rPr>
                <w:b/>
                <w:bCs/>
                <w:sz w:val="22"/>
                <w:szCs w:val="22"/>
              </w:rPr>
              <w:t xml:space="preserve"> 5'i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GC2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 xml:space="preserve">3.300 TL'den az olmamak üzere CIF kıymetin </w:t>
            </w:r>
            <w:proofErr w:type="spellStart"/>
            <w:r w:rsidRPr="0022782D">
              <w:rPr>
                <w:b/>
                <w:bCs/>
                <w:sz w:val="22"/>
                <w:szCs w:val="22"/>
              </w:rPr>
              <w:t>onbinde</w:t>
            </w:r>
            <w:proofErr w:type="spellEnd"/>
            <w:r w:rsidRPr="0022782D">
              <w:rPr>
                <w:b/>
                <w:bCs/>
                <w:sz w:val="22"/>
                <w:szCs w:val="22"/>
              </w:rPr>
              <w:t xml:space="preserve"> 5'i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GK1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Tespit Raporu Başına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 xml:space="preserve">1.350 TL'den az olmamak üzere CIF kıymetin binde 5'i, toplam ücretin 5.500 TL' </w:t>
            </w:r>
            <w:proofErr w:type="spellStart"/>
            <w:r w:rsidRPr="0022782D">
              <w:rPr>
                <w:b/>
                <w:bCs/>
                <w:sz w:val="22"/>
                <w:szCs w:val="22"/>
              </w:rPr>
              <w:t>yi</w:t>
            </w:r>
            <w:proofErr w:type="spellEnd"/>
            <w:r w:rsidRPr="0022782D">
              <w:rPr>
                <w:b/>
                <w:bCs/>
                <w:sz w:val="22"/>
                <w:szCs w:val="22"/>
              </w:rPr>
              <w:t xml:space="preserve"> geçmesi durumunda aşan kısım için tarafların anlaşmasıyla belirlenecek tutar.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AT1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AT1 tespit kodu çerçevesinde yapılacak tespit işlemlerinde belge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1.350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EU2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2.700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OK1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A Sınıfı ve B Sınıfı Onaylanmış Kişi Statüsü Belgeleri başvuru dosyalarının ön incelemesine ilişkin tespit işlemi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1.350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C Sınıfı Onaylanmış Kişi Statüsü Belgesi başvurusu dosyasının ön incelemesine ilişkin tespit işlemi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800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22782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SK1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Tespit Sözleşmesi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Sonradan kontrol talebinin birden fazla belge içermesi durumunda ilave her belge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22782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INF4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Kısa dönem tedarikçi beyanlarının ilgili mevzuatları çerçevesinde kontrolleri için belge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1.350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 xml:space="preserve">Uzun dönem tedarikçi beyanlarının ilgili </w:t>
            </w:r>
            <w:proofErr w:type="spellStart"/>
            <w:r w:rsidRPr="0022782D">
              <w:rPr>
                <w:sz w:val="22"/>
                <w:szCs w:val="22"/>
              </w:rPr>
              <w:t>mevzuatlan</w:t>
            </w:r>
            <w:proofErr w:type="spellEnd"/>
            <w:r w:rsidRPr="0022782D">
              <w:rPr>
                <w:sz w:val="22"/>
                <w:szCs w:val="22"/>
              </w:rPr>
              <w:t xml:space="preserve"> çerçevesinde kontrolleri için belge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6.800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22782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ZD1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Tespit Raporu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730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22782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 w:val="restart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BD1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Tespit Sözleşmesi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600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 xml:space="preserve">Aynı DİİB veya DİZİN kapsamı birden fazla beyannamede düzeltme yapılması durumunda 30 </w:t>
            </w:r>
            <w:proofErr w:type="gramStart"/>
            <w:r w:rsidRPr="0022782D">
              <w:rPr>
                <w:sz w:val="22"/>
                <w:szCs w:val="22"/>
              </w:rPr>
              <w:t>adete</w:t>
            </w:r>
            <w:proofErr w:type="gramEnd"/>
            <w:r w:rsidRPr="0022782D">
              <w:rPr>
                <w:sz w:val="22"/>
                <w:szCs w:val="22"/>
              </w:rPr>
              <w:t xml:space="preserve"> kadar ilave her beyanname başına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120 TL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vMerge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 xml:space="preserve">Aynı DİİB veya DİZİN kapsamı beyanname sayısı 30 </w:t>
            </w:r>
            <w:proofErr w:type="gramStart"/>
            <w:r w:rsidRPr="0022782D">
              <w:rPr>
                <w:sz w:val="22"/>
                <w:szCs w:val="22"/>
              </w:rPr>
              <w:t>adeti</w:t>
            </w:r>
            <w:proofErr w:type="gramEnd"/>
            <w:r w:rsidRPr="0022782D">
              <w:rPr>
                <w:sz w:val="22"/>
                <w:szCs w:val="22"/>
              </w:rPr>
              <w:t xml:space="preserve"> aştığı durumlarda aşan kısım için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Tarafların anlaşmasıyla belirlenecek tutar</w:t>
            </w: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22782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92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6B8B" w:rsidRPr="0022782D" w:rsidTr="00450202">
        <w:trPr>
          <w:trHeight w:val="20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TK1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EE6B8B" w:rsidRPr="0022782D" w:rsidRDefault="00EE6B8B" w:rsidP="00450202">
            <w:pPr>
              <w:spacing w:before="80"/>
              <w:rPr>
                <w:sz w:val="22"/>
                <w:szCs w:val="22"/>
              </w:rPr>
            </w:pPr>
            <w:r w:rsidRPr="0022782D">
              <w:rPr>
                <w:sz w:val="22"/>
                <w:szCs w:val="22"/>
              </w:rPr>
              <w:t>Tespit Sözleşmesi Başına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EE6B8B" w:rsidRPr="0022782D" w:rsidRDefault="00EE6B8B" w:rsidP="00450202">
            <w:pPr>
              <w:spacing w:before="80"/>
              <w:jc w:val="center"/>
              <w:rPr>
                <w:b/>
                <w:bCs/>
                <w:sz w:val="22"/>
                <w:szCs w:val="22"/>
              </w:rPr>
            </w:pPr>
            <w:r w:rsidRPr="0022782D">
              <w:rPr>
                <w:b/>
                <w:bCs/>
                <w:sz w:val="22"/>
                <w:szCs w:val="22"/>
              </w:rPr>
              <w:t>550 TL'den az olmamak üzere gerçekleşen ithalat ve ihracat tutarları toplamının binde 1'i, toplam ücretin 5.000 TL'yi geçmesi durumunda aşan kısım için tarafların anlaşmasıyla belirlenecek tutar</w:t>
            </w:r>
          </w:p>
        </w:tc>
      </w:tr>
    </w:tbl>
    <w:p w:rsidR="00EE6B8B" w:rsidRPr="0078435C" w:rsidRDefault="00EE6B8B" w:rsidP="00EE6B8B">
      <w:pPr>
        <w:spacing w:before="80"/>
        <w:rPr>
          <w:sz w:val="22"/>
          <w:szCs w:val="22"/>
        </w:rPr>
      </w:pPr>
    </w:p>
    <w:p w:rsidR="0019499A" w:rsidRDefault="0019499A"/>
    <w:sectPr w:rsidR="0019499A" w:rsidSect="001143DF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208" w:rsidRDefault="009C3208" w:rsidP="00EE6B8B">
      <w:r>
        <w:separator/>
      </w:r>
    </w:p>
  </w:endnote>
  <w:endnote w:type="continuationSeparator" w:id="0">
    <w:p w:rsidR="009C3208" w:rsidRDefault="009C3208" w:rsidP="00E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208" w:rsidRDefault="009C3208" w:rsidP="00EE6B8B">
      <w:r>
        <w:separator/>
      </w:r>
    </w:p>
  </w:footnote>
  <w:footnote w:type="continuationSeparator" w:id="0">
    <w:p w:rsidR="009C3208" w:rsidRDefault="009C3208" w:rsidP="00EE6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8B"/>
    <w:rsid w:val="0019499A"/>
    <w:rsid w:val="009C3208"/>
    <w:rsid w:val="00E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DB9F-8AA7-4C23-BC1E-EEF1F3CE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E6B8B"/>
    <w:rPr>
      <w:color w:val="0000FF"/>
      <w:u w:val="single"/>
    </w:rPr>
  </w:style>
  <w:style w:type="paragraph" w:styleId="stbilgi">
    <w:name w:val="header"/>
    <w:basedOn w:val="Normal"/>
    <w:link w:val="stbilgiChar"/>
    <w:rsid w:val="00EE6B8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6B8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E6B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6B8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G&#252;mr&#252;k%20Kanunu%2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1</cp:revision>
  <dcterms:created xsi:type="dcterms:W3CDTF">2015-03-24T08:22:00Z</dcterms:created>
  <dcterms:modified xsi:type="dcterms:W3CDTF">2015-03-24T08:23:00Z</dcterms:modified>
</cp:coreProperties>
</file>